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20</w:t>
      </w:r>
    </w:p>
    <w:p>
      <w:pPr>
        <w:pStyle w:val="Subtitle"/>
      </w:pPr>
      <w:r>
        <w:t>Kerberos &amp; Active Directory Attack Paths</w:t>
      </w:r>
    </w:p>
    <w:p>
      <w:pPr/>
      <w:r>
        <w:t>Dari ticket flow ke relationship graph: SPN, delegation, ACL, trusts, AD CS, BloodHound reasoning, controlled validation, telemetry, dan evidence discipline.</w:t>
      </w:r>
    </w:p>
    <w:p>
      <w:pPr>
        <w:pStyle w:val="Heading2"/>
      </w:pPr>
      <w:r>
        <w:t>Learning path module ini</w:t>
      </w:r>
    </w:p>
    <w:p>
      <w:pPr/>
      <w:r>
        <w:t>Kerberos flow -&gt; SPN/service identities -&gt; delegation -&gt; ACL relationships -&gt; trusts -&gt; AD CS -&gt; BloodHound path reasoning -&gt; controlled validation -&gt; detection-aware reporting.</w:t>
      </w:r>
    </w:p>
    <w:p>
      <w:pPr>
        <w:pStyle w:val="Heading2"/>
      </w:pPr>
      <w:r>
        <w:t>Exit criteria</w:t>
      </w:r>
    </w:p>
    <w:p>
      <w:pPr>
        <w:ind w:left="259" w:hanging="173"/>
      </w:pPr>
      <w:r>
        <w:rPr>
          <w:b/>
        </w:rPr>
        <w:t xml:space="preserve">• </w:t>
      </w:r>
      <w:r>
        <w:t>Bisa menjelaskan TGT, service ticket, KDC, SPN, PAC, dan hubungan authentication vs authorization tanpa menghafal tool output.</w:t>
      </w:r>
    </w:p>
    <w:p>
      <w:pPr>
        <w:ind w:left="259" w:hanging="173"/>
      </w:pPr>
      <w:r>
        <w:rPr>
          <w:b/>
        </w:rPr>
        <w:t xml:space="preserve">• </w:t>
      </w:r>
      <w:r>
        <w:t>Bisa mengidentifikasi kandidat attack path dari service account, delegation, ACL, trust, dan certificate template secara read-only.</w:t>
      </w:r>
    </w:p>
    <w:p>
      <w:pPr>
        <w:ind w:left="259" w:hanging="173"/>
      </w:pPr>
      <w:r>
        <w:rPr>
          <w:b/>
        </w:rPr>
        <w:t xml:space="preserve">• </w:t>
      </w:r>
      <w:r>
        <w:t>Bisa membedakan relationship evidence dari exploitability: sebuah BloodHound edge bukan bukti bahwa path pasti dapat dieksekusi.</w:t>
      </w:r>
    </w:p>
    <w:p>
      <w:pPr>
        <w:ind w:left="259" w:hanging="173"/>
      </w:pPr>
      <w:r>
        <w:rPr>
          <w:b/>
        </w:rPr>
        <w:t xml:space="preserve">• </w:t>
      </w:r>
      <w:r>
        <w:t>Bisa membuat hipotesis, precondition, impact, telemetry, dan remediation sebelum melakukan controlled validation pada lab yang authorized.</w:t>
      </w:r>
    </w:p>
    <w:p>
      <w:pPr>
        <w:shd w:fill="FDECEC"/>
        <w:pBdr>
          <w:top w:val="single" w:sz="4" w:space="2" w:color="C95C5C"/>
          <w:left w:val="single" w:sz="4" w:space="2" w:color="C95C5C"/>
          <w:bottom w:val="single" w:sz="4" w:space="2" w:color="C95C5C"/>
          <w:right w:val="single" w:sz="4" w:space="2" w:color="C95C5C"/>
        </w:pBdr>
        <w:spacing w:before="40" w:after="60"/>
        <w:ind w:left="72" w:right="72"/>
      </w:pPr>
      <w:r>
        <w:rPr>
          <w:b/>
        </w:rPr>
        <w:t xml:space="preserve">Authorized-lab rule  </w:t>
      </w:r>
      <w:r>
        <w:t>Semua hands-on memakai synthetic dataset, read-only inventory, GOAD/MINILAB yang terisolasi, atau platform training yang secara eksplisit mengizinkan teknik ofensif. Jangan mencoba ticket extraction, credential attacks, delegation abuse, ACL modification, atau certificate abuse pada domain pihak lain.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Value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Prerequisite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Module 18, Module 19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Learning path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Kerberos flow → SPN/service identities → delegation → ACL relationships → trusts → AD CS → BloodHound path reasoning → controlled validation → detection-aware reporting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Safety model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Synthetic datasets, read-only PowerShell inventory, authorized isolated AD lab — </w:t>
            </w:r>
            <w:r>
              <w:rPr>
                <w:b/>
              </w:rPr>
              <w:t xml:space="preserve">tidak ada</w:t>
            </w:r>
            <w:r>
              <w:t xml:space="preserve"> automation untuk ticket extraction, credential cracking, ACL/delegation modification, certificate impersonation, persistence, atau remote execution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Recommended lab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GOAD/MINILAB </w:t>
            </w:r>
            <w:r>
              <w:rPr>
                <w:b/>
              </w:rPr>
              <w:t xml:space="preserve">hanya</w:t>
            </w:r>
            <w:r>
              <w:t xml:space="preserve"> dalam jaringan terisolasi — project GOAD sendiri memperingatkan environment-nya sangat vulnerable dan tidak boleh dipublish ke internet</w:t>
            </w:r>
          </w:p>
        </w:tc>
      </w:tr>
    </w:tbl>
    <w:p>
      <w:pPr>
        <w:pStyle w:val="Heading2"/>
      </w:pPr>
      <w:r>
        <w:t xml:space="preserve">Exit criteria</w:t>
      </w:r>
    </w:p>
    <w:p>
      <w:r>
        <w:t xml:space="preserve">[ ] Bisa menjelaskan TGT, service ticket, KDC, SPN, PAC, dan hubungan authentication vs authorization tanpa menghafal tool output.</w:t>
      </w:r>
    </w:p>
    <w:p>
      <w:r>
        <w:t xml:space="preserve">[ ] Bisa mengidentifikasi kandidat attack path dari service account, delegation, ACL, trust, dan certificate template secara read-only.</w:t>
      </w:r>
    </w:p>
    <w:p>
      <w:r>
        <w:t xml:space="preserve">[ ] Bisa membedakan relationship evidence dari exploitability — sebuah BloodHound edge bukan bukti path pasti dapat dieksekusi.</w:t>
      </w:r>
    </w:p>
    <w:p>
      <w:r>
        <w:t xml:space="preserve">[ ] Bisa membuat hipotesis, precondition, impact, telemetry, dan remediation sebelum melakukan controlled validation pada lab yang authorized.</w:t>
      </w:r>
    </w:p>
    <w:p>
      <w:pPr>
        <w:pStyle w:val="Heading1"/>
      </w:pPr>
      <w:r>
        <w:t xml:space="preserve">1. Mental Model: Identity → Ticket → Relationship → Path</w:t>
      </w:r>
    </w:p>
    <w:p>
      <w:r>
        <w:t xml:space="preserve">AD attack path bukan daftar command. Sebuah path adalah rangkaian hubungan yang, bila </w:t>
      </w:r>
      <w:r>
        <w:rPr>
          <w:b/>
        </w:rPr>
        <w:t xml:space="preserve">semua precondition benar</w:t>
      </w:r>
      <w:r>
        <w:t xml:space="preserve">, dapat mengubah kontrol dari principal awal menuju objective yang lebih sensitif. Setiap edge harus dijawab dengan lima pertanyaan: siapa principal-nya, object mana yang dikontrol, permission apa yang membuat hubungan itu relevan, precondition apa yang diperlukan, dan telemetry apa yang akan muncul.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Layer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Pertanyaan utama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Contoh evidence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Identity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Siapa principal yang sedang kita punya?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SID, group membership, token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Authentication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Bagaimana principal membuktikan identitas?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TGT, service ticket, certificate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Authorization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 yang boleh dilakukan principal?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ACL, group, local admin, GPO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Relationship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Object mana yang dipengaruhi?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SPN owner, delegation target, trust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Path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Apakah beberapa relationship dapat dirangkai?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BloodHound/graph hypothesis</w:t>
            </w:r>
          </w:p>
        </w:tc>
      </w:tr>
    </w:tbl>
    <w:p>
      <w:pPr>
        <w:pStyle w:val="Heading2"/>
      </w:pPr>
      <w:r>
        <w:t xml:space="preserve">Lab 01 — Workspace &amp; Scope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cd modules/20-kerberos-ad-attack-paths/labs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./workspace-init.sh module20-ad-paths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isi 00-scope/README.txt dengan domain lab, permitted hosts, testing window, dan stop conditions</w:t>
            </w:r>
          </w:p>
        </w:tc>
      </w:tr>
    </w:tbl>
    <w:p>
      <w:pPr>
        <w:pStyle w:val="Heading1"/>
      </w:pPr>
      <w:r>
        <w:t xml:space="preserve">2. Kerberos: Ticket Flow yang Harus Benar-benar Dipahami</w:t>
      </w:r>
    </w:p>
    <w:p>
      <w:r>
        <w:t xml:space="preserve">Dalam AD DS, KDC berjalan pada domain controller dan memakai database AD sebagai security account database. Client pertama-tama mendapatkan </w:t>
      </w:r>
      <w:r>
        <w:rPr>
          <w:b/>
        </w:rPr>
        <w:t xml:space="preserve">Ticket Granting Ticket (TGT)</w:t>
      </w:r>
      <w:r>
        <w:t xml:space="preserve">, lalu memakai TGT itu untuk meminta </w:t>
      </w:r>
      <w:r>
        <w:rPr>
          <w:b/>
        </w:rPr>
        <w:t xml:space="preserve">service ticket</w:t>
      </w:r>
      <w:r>
        <w:t xml:space="preserve"> untuk SPN tertentu. Server memvalidasi service ticket dan bisa memakai authorization data di </w:t>
      </w:r>
      <w:r>
        <w:rPr>
          <w:b/>
        </w:rPr>
        <w:t xml:space="preserve">PAC</w:t>
      </w:r>
      <w:r>
        <w:t xml:space="preserve"> untuk membuat access decision.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User/Computer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| AS-REQ / AS-REP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KDC (DC) ----&gt; TGT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^            |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| TGS-REQ    | request service ticket for SPN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+------------+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| TGS-REP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Service Ticket -&gt; Target Service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Key distinction.</w:t>
            </w:r>
          </w:p>
          <w:p>
            <w:pPr>
              <w:spacing w:after="0"/>
            </w:pPr>
            <w:r>
              <w:t xml:space="preserve">TGT membuktikan principal sudah diautentikasi ke KDC. Service ticket membuktikan permintaan akses ke service tertentu. </w:t>
            </w:r>
            <w:r>
              <w:rPr>
                <w:b/>
              </w:rPr>
              <w:t xml:space="preserve">Keduanya tidak otomatis berarti caller punya authorization terhadap resource aplikasi</w:t>
            </w:r>
            <w:r>
              <w:t xml:space="preserve"> — itu keputusan terpisah di level aplikasi/PAC.</w:t>
            </w:r>
          </w:p>
        </w:tc>
      </w:tr>
    </w:tbl>
    <w:p>
      <w:pPr>
        <w:pStyle w:val="Heading2"/>
      </w:pPr>
      <w:r>
        <w:t xml:space="preserve">Apa yang perlu dibaca dari sebuah ticket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Field/concept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Kenapa penting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Client principal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identitas yang ticket-nya mewakili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Server principal/SPN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service mana yang jadi audience ticket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Validity window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membantu memahami lifetime, renewal, stale evidence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Encryption type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menunjukkan crypto yang benar-benar dinegosiasikan/dipakai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Ticket flags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forwardable/renewable/delegation semantics tertentu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PAC/authorization data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membawa authorization context yang dipakai Windows services</w:t>
            </w:r>
          </w:p>
        </w:tc>
      </w:tr>
    </w:tbl>
    <w:p>
      <w:pPr>
        <w:pStyle w:val="Heading2"/>
      </w:pPr>
      <w:r>
        <w:t xml:space="preserve">Kerberos troubleshooting sebelum membuat attack hypothesis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Symptom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Kemungkinan penyebab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Check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Kerberos gagal dan NTLM muncul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SPN/DNS/service-name mismatch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DNS, SPN registration, target name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KRB_AP_ERR_SKEW</w:t>
            </w:r>
            <w:r>
              <w:t xml:space="preserve">/auth intermittent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clock skew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client/DC time + NTP hierarchy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KDC_ERR_ETYPE_NOTSUPP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encryption-type mismatch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account/domain crypto policy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Service ticket salah audience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duplicate/missing SPN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setspn</w:t>
            </w:r>
            <w:r>
              <w:t xml:space="preserve"> query/read-only inventory</w:t>
            </w:r>
          </w:p>
        </w:tc>
      </w:tr>
    </w:tbl>
    <w:p>
      <w:pPr>
        <w:pStyle w:val="Heading2"/>
      </w:pPr>
      <w:r>
        <w:t xml:space="preserve">Lab 02 — Inspect Ticket Cache, Bukan Membuat Ticket Baru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.\ticket-cache.ps1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klist</w:t>
            </w:r>
          </w:p>
        </w:tc>
      </w:tr>
    </w:tbl>
    <w:p>
      <w:pPr>
        <w:numPr>
          <w:numId w:val="1"/>
        </w:numPr>
      </w:pPr>
      <w:r>
        <w:t xml:space="preserve">Catat client principal, service name/SPN, encryption type, start/end time, dan ticket flags yang terlihat.</w:t>
      </w:r>
    </w:p>
    <w:p>
      <w:pPr>
        <w:numPr>
          <w:numId w:val="1"/>
        </w:numPr>
      </w:pPr>
      <w:r>
        <w:rPr>
          <w:b/>
        </w:rPr>
        <w:t xml:space="preserve">Jangan</w:t>
      </w:r>
      <w:r>
        <w:t xml:space="preserve"> purge ticket atau inject ticket pada module fundamental ini — objective-nya memahami state normal terlebih dahulu.</w:t>
      </w:r>
    </w:p>
    <w:p>
      <w:pPr>
        <w:pStyle w:val="Heading1"/>
      </w:pPr>
      <w:r>
        <w:t xml:space="preserve">3. SPN dan Service Account Attack-Path Reasoning</w:t>
      </w:r>
    </w:p>
    <w:p>
      <w:r>
        <w:t xml:space="preserve">SPN (Service Principal Name) adalah identifier unik service instance yang menghubungkan service dengan account yang menjalankannya. Dari perspektif assessment, SPN membantu memetakan service identities. </w:t>
      </w:r>
      <w:r>
        <w:rPr>
          <w:b/>
        </w:rPr>
        <w:t xml:space="preserve">Risiko meningkat</w:t>
      </w:r>
      <w:r>
        <w:t xml:space="preserve"> ketika service identity memakai password lama, encryption legacy, privilege tinggi, atau lifecycle yang lemah.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Read-only live inventory (authorized domain)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Get-ADUser -LDAPFilter '(servicePrincipalName=*)' `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-Properties servicePrincipalName,PasswordLastSet,msDS-SupportedEncryptionTypes,MemberOf |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Select-Object SamAccountName,PasswordLastSet,msDS-SupportedEncryptionTypes,servicePrincipalName,MemberOf |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Export-Csv -NoTypeInformation .\module20-ad-paths\02-spn\spns.csv</w:t>
            </w:r>
          </w:p>
        </w:tc>
      </w:tr>
    </w:tbl>
    <w:p>
      <w:pPr>
        <w:pStyle w:val="Heading2"/>
      </w:pPr>
      <w:r>
        <w:t xml:space="preserve">Lab 03 — Synthetic SPN Risk Review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spn-risk-review.py sample-spns.csv --output module20-ad-paths/02-spn/spn-review.json</w:t>
            </w:r>
          </w:p>
        </w:tc>
      </w:tr>
    </w:tbl>
    <w:p>
      <w:r>
        <w:t xml:space="preserve">Script ini scoring sederhana — </w:t>
      </w:r>
      <w:r>
        <w:rPr>
          <w:rFonts w:ascii="Liberation Mono" w:hAnsi="Liberation Mono"/>
        </w:rPr>
        <w:t xml:space="preserve">+2</w:t>
      </w:r>
      <w:r>
        <w:t xml:space="preserve"> kalau password age ≥365 hari, </w:t>
      </w:r>
      <w:r>
        <w:rPr>
          <w:rFonts w:ascii="Liberation Mono" w:hAnsi="Liberation Mono"/>
        </w:rPr>
        <w:t xml:space="preserve">+2</w:t>
      </w:r>
      <w:r>
        <w:t xml:space="preserve"> kalau encryption masih RC4, </w:t>
      </w:r>
      <w:r>
        <w:rPr>
          <w:rFonts w:ascii="Liberation Mono" w:hAnsi="Liberation Mono"/>
        </w:rPr>
        <w:t xml:space="preserve">+3</w:t>
      </w:r>
      <w:r>
        <w:t xml:space="preserve"> kalau akun privileged, </w:t>
      </w:r>
      <w:r>
        <w:rPr>
          <w:rFonts w:ascii="Liberation Mono" w:hAnsi="Liberation Mono"/>
        </w:rPr>
        <w:t xml:space="preserve">+1</w:t>
      </w:r>
      <w:r>
        <w:t xml:space="preserve"> kalau user-backed (bukan computer account </w:t>
      </w:r>
      <w:r>
        <w:rPr>
          <w:rFonts w:ascii="Liberation Mono" w:hAnsi="Liberation Mono"/>
        </w:rPr>
        <w:t xml:space="preserve">$</w:t>
      </w:r>
      <w:r>
        <w:t xml:space="preserve">). Script hanya membuat </w:t>
      </w:r>
      <w:r>
        <w:rPr>
          <w:b/>
        </w:rPr>
        <w:t xml:space="preserve">prioritization candidates</w:t>
      </w:r>
      <w:r>
        <w:t xml:space="preserve">. Score tinggi </w:t>
      </w:r>
      <w:r>
        <w:rPr>
          <w:b/>
        </w:rPr>
        <w:t xml:space="preserve">bukan bukti</w:t>
      </w:r>
      <w:r>
        <w:t xml:space="preserve"> account dapat dikompromikan.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Roastability concept.</w:t>
            </w:r>
          </w:p>
          <w:p>
            <w:pPr>
              <w:spacing w:after="0"/>
            </w:pPr>
            <w:r>
              <w:t xml:space="preserve">Kerberoasting dan AS-REP roasting penting dipahami sebagai kondisi yang memungkinkan material autentikasi diverifikasi secara offline. Di module ini kita </w:t>
            </w:r>
            <w:r>
              <w:rPr>
                <w:b/>
              </w:rPr>
              <w:t xml:space="preserve">tidak mengajarkan ticket extraction</w:t>
            </w:r>
            <w:r>
              <w:t xml:space="preserve"> terhadap domain nyata. Actual extraction/cracking hanya dilakukan di deliberately-vulnerable lab yang authorized dan memakai credential fixture/training.</w:t>
            </w:r>
          </w:p>
        </w:tc>
      </w:tr>
    </w:tbl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Signal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Kenapa relevan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Bukan berarti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User-backed SPN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service key terkait password user account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password pasti lemah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Password age tinggi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rotation mungkin lemah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hash pasti crackable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RC4/legacy crypto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legacy exposure/hardening gap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langsung exploitable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Privilege tinggi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impact lebih besar bila identity hilang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path sudah terbukti</w:t>
            </w:r>
          </w:p>
        </w:tc>
      </w:tr>
    </w:tbl>
    <w:p>
      <w:pPr>
        <w:pStyle w:val="Heading2"/>
      </w:pPr>
      <w:r>
        <w:t xml:space="preserve">Service-account lifecycle matters</w:t>
      </w:r>
    </w:p>
    <w:p>
      <w:r>
        <w:t xml:space="preserve">Akun service tradisional sering punya password rotation lebih lambat karena takut merusak dependency. </w:t>
      </w:r>
      <w:r>
        <w:rPr>
          <w:b/>
        </w:rPr>
        <w:t xml:space="preserve">gMSA</w:t>
      </w:r>
      <w:r>
        <w:t xml:space="preserve"> dirancang supaya password service bisa dikelola/dirotasi oleh domain dan dibatasi ke host yang berhak mengambil managed password.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Account pattern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Review focus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Human-style service user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password lifecycle, interactive logon, group privilege, stale ownership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Computer account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host control, delegation, local-admin relationships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gMSA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host mana yang boleh retrieve managed password + privilege scope + SPNs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AS-REP pre-auth concept.</w:t>
            </w:r>
          </w:p>
          <w:p>
            <w:pPr>
              <w:spacing w:after="0"/>
            </w:pPr>
            <w:r>
              <w:t xml:space="preserve">Account yang dikonfigurasi tanpa Kerberos pre-authentication mengurangi bukti awal yang harus diberikan client sebelum KDC merespons. Treat flag ini sebagai hardening finding/candidate — jangan melakukan mass account probing di luar authorized lab.</w:t>
            </w:r>
          </w:p>
        </w:tc>
      </w:tr>
    </w:tbl>
    <w:p>
      <w:pPr>
        <w:pStyle w:val="Heading1"/>
      </w:pPr>
      <w:r>
        <w:t xml:space="preserve">4. Delegation: Unconstrained, Constrained, dan RBCD</w:t>
      </w:r>
    </w:p>
    <w:p>
      <w:r>
        <w:t xml:space="preserve">Delegation memungkinkan service bertindak atas nama user ketika mengakses service lain. Security question-nya bukan hanya </w:t>
      </w:r>
      <w:r>
        <w:rPr>
          <w:i/>
        </w:rPr>
        <w:t xml:space="preserve">"delegation enabled?"</w:t>
      </w:r>
      <w:r>
        <w:t xml:space="preserve"> tapi </w:t>
      </w:r>
      <w:r>
        <w:rPr>
          <w:b/>
        </w:rPr>
        <w:t xml:space="preserve">"siapa boleh mendelegasikan ke mana, siapa mengontrol delegating principal, siapa mengontrol resource object, dan apakah impersonated identity menghasilkan privilege tambahan?"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Mode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Boundary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Assessment question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Unconstrained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broad delegation context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mengapa host/service ini perlu trust seluas itu?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Constrained (KCD)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dibatasi ke backend SPN tertentu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siapa mengontrol delegating account + allowed targets?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Resource-based constrained delegation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resource object menentukan delegator yang dipercaya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siapa punya write/control atas resource object?</w:t>
            </w:r>
          </w:p>
        </w:tc>
      </w:tr>
    </w:tbl>
    <w:p>
      <w:pPr>
        <w:pStyle w:val="Heading2"/>
      </w:pPr>
      <w:r>
        <w:t xml:space="preserve">S4U2Self &amp; S4U2Proxy — conceptual map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User identity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|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Front-end service -- S4U2Self --&gt; service ticket to itself for user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|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+-- S4U2Proxy --&gt; backend service ticket (when delegation policy permits)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      |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      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    Back-end service</w:t>
            </w:r>
          </w:p>
        </w:tc>
      </w:tr>
    </w:tbl>
    <w:p>
      <w:r>
        <w:t xml:space="preserve">Kuncinya adalah </w:t>
      </w:r>
      <w:r>
        <w:rPr>
          <w:b/>
        </w:rPr>
        <w:t xml:space="preserve">policy boundary</w:t>
      </w:r>
      <w:r>
        <w:t xml:space="preserve">: account mana yang dipercaya, backend SPN mana yang diizinkan, apakah protocol transition relevan, dan siapa yang bisa mengubah delegation attributes/resource ACL. Jangan menyamakan kemampuan protocol dengan authorization aplikasi di backend.</w:t>
      </w:r>
    </w:p>
    <w:p>
      <w:pPr>
        <w:pStyle w:val="Heading2"/>
      </w:pPr>
      <w:r>
        <w:t xml:space="preserve">Lab 04 — Read-only Delegation Inventory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.\delegation-inventory.ps1</w:t>
            </w:r>
          </w:p>
        </w:tc>
      </w:tr>
    </w:tbl>
    <w:p>
      <w:pPr>
        <w:pStyle w:val="Heading2"/>
      </w:pPr>
      <w:r>
        <w:t xml:space="preserve">Lab 05 — Explain Relationship, Jangan Abuse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delegation-path.py sample-delegation.json</w:t>
            </w:r>
          </w:p>
        </w:tc>
      </w:tr>
    </w:tbl>
    <w:p>
      <w:r>
        <w:rPr>
          <w:rFonts w:ascii="Liberation Mono" w:hAnsi="Liberation Mono"/>
        </w:rPr>
        <w:t xml:space="preserve">delegation-path.py</w:t>
      </w:r>
      <w:r>
        <w:t xml:space="preserve"> membaca mode (</w:t>
      </w:r>
      <w:r>
        <w:rPr>
          <w:rFonts w:ascii="Liberation Mono" w:hAnsi="Liberation Mono"/>
        </w:rPr>
        <w:t xml:space="preserve">unconstrained</w:t>
      </w:r>
      <w:r>
        <w:t xml:space="preserve">/</w:t>
      </w:r>
      <w:r>
        <w:rPr>
          <w:rFonts w:ascii="Liberation Mono" w:hAnsi="Liberation Mono"/>
        </w:rPr>
        <w:t xml:space="preserve">constrained</w:t>
      </w:r>
      <w:r>
        <w:t xml:space="preserve">/</w:t>
      </w:r>
      <w:r>
        <w:rPr>
          <w:rFonts w:ascii="Liberation Mono" w:hAnsi="Liberation Mono"/>
        </w:rPr>
        <w:t xml:space="preserve">rbcd*</w:t>
      </w:r>
      <w:r>
        <w:t xml:space="preserve">) tiap principal dan mencetak review note-nya masing-masing (broad impersonation boundary / verifikasi backend SPN / inspeksi ACL resource object).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EF2F2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91B1B"/>
                <w:sz w:val="19"/>
              </w:rPr>
              <w:t xml:space="preserve">Security note.</w:t>
            </w:r>
          </w:p>
          <w:p>
            <w:pPr>
              <w:spacing w:after="0"/>
            </w:pPr>
            <w:r>
              <w:t xml:space="preserve">Delegation path sering menjadi kombinasi beberapa control relationship. Jangan mengubah </w:t>
            </w:r>
            <w:r>
              <w:rPr>
                <w:rFonts w:ascii="Liberation Mono" w:hAnsi="Liberation Mono"/>
              </w:rPr>
              <w:t xml:space="preserve">msDS-AllowedToDelegateTo</w:t>
            </w:r>
            <w:r>
              <w:t xml:space="preserve">, </w:t>
            </w:r>
            <w:r>
              <w:rPr>
                <w:rFonts w:ascii="Liberation Mono" w:hAnsi="Liberation Mono"/>
              </w:rPr>
              <w:t xml:space="preserve">PrincipalsAllowedToDelegateToAccount</w:t>
            </w:r>
            <w:r>
              <w:t xml:space="preserve">, atau delegation flags hanya untuk "membuktikan" finding. Gunakan evidence + deliberately-vulnerable lab.</w:t>
            </w:r>
          </w:p>
        </w:tc>
      </w:tr>
    </w:tbl>
    <w:p>
      <w:pPr>
        <w:pStyle w:val="Heading1"/>
      </w:pPr>
      <w:r>
        <w:t xml:space="preserve">5. ACL Relationships: Control atas Object Lebih Penting dari Nama Group</w:t>
      </w:r>
    </w:p>
    <w:p>
      <w:r>
        <w:t xml:space="preserve">AD object punya security descriptor dan DACL. Relationship seperti </w:t>
      </w:r>
      <w:r>
        <w:rPr>
          <w:rFonts w:ascii="Liberation Mono" w:hAnsi="Liberation Mono"/>
        </w:rPr>
        <w:t xml:space="preserve">GenericAll</w:t>
      </w:r>
      <w:r>
        <w:t xml:space="preserve">, </w:t>
      </w:r>
      <w:r>
        <w:rPr>
          <w:rFonts w:ascii="Liberation Mono" w:hAnsi="Liberation Mono"/>
        </w:rPr>
        <w:t xml:space="preserve">GenericWrite</w:t>
      </w:r>
      <w:r>
        <w:t xml:space="preserve">, </w:t>
      </w:r>
      <w:r>
        <w:rPr>
          <w:rFonts w:ascii="Liberation Mono" w:hAnsi="Liberation Mono"/>
        </w:rPr>
        <w:t xml:space="preserve">WriteDacl</w:t>
      </w:r>
      <w:r>
        <w:t xml:space="preserve">, </w:t>
      </w:r>
      <w:r>
        <w:rPr>
          <w:rFonts w:ascii="Liberation Mono" w:hAnsi="Liberation Mono"/>
        </w:rPr>
        <w:t xml:space="preserve">WriteOwner</w:t>
      </w:r>
      <w:r>
        <w:t xml:space="preserve">, </w:t>
      </w:r>
      <w:r>
        <w:rPr>
          <w:rFonts w:ascii="Liberation Mono" w:hAnsi="Liberation Mono"/>
        </w:rPr>
        <w:t xml:space="preserve">AddMember</w:t>
      </w:r>
      <w:r>
        <w:t xml:space="preserve">, atau permission spesifik bisa mengubah siapa yang akhirnya mengontrol object. Red teamer harus membaca edge sebagai </w:t>
      </w:r>
      <w:r>
        <w:rPr>
          <w:b/>
        </w:rPr>
        <w:t xml:space="preserve">capability</w:t>
      </w:r>
      <w:r>
        <w:t xml:space="preserve">, bukan tombol exploit.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Relationship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Capability concept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Validation question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GenericAll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kontrol luas atas object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apakah target object memang membawa path ke objective?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GenericWrite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dapat mengubah subset attribute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attribute mana yang writable dan security-sensitive?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WriteDacl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dapat mengubah DACL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apakah caller boleh memberi rights tambahan?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WriteOwner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dapat mengambil ownership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apakah ownership memberi jalan untuk ubah DACL?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AddMember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dapat menambah member ke group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seberapa sensitif effective privilege group itu?</w:t>
            </w:r>
          </w:p>
        </w:tc>
      </w:tr>
    </w:tbl>
    <w:p>
      <w:pPr>
        <w:pStyle w:val="Heading2"/>
      </w:pPr>
      <w:r>
        <w:t xml:space="preserve">Edge validation rubric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Question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Evidence yang dicari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Does the edge exist now?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raw ACL/group/session/delegation data + timestamp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Can our principal exercise it?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effective group/token + deny/protection conditions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Does target lead somewhere useful?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next relationship/object privilege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Is it reversible?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original owner/DACL/member/config snapshot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What will defenders see?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directory change events, logon/ticket/process/network artifact</w:t>
            </w:r>
          </w:p>
        </w:tc>
      </w:tr>
    </w:tbl>
    <w:p>
      <w:pPr>
        <w:pStyle w:val="Heading2"/>
      </w:pPr>
      <w:r>
        <w:t xml:space="preserve">Lab 06 — Synthetic Attack Path Graph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attack-path-model.py sample-acl.json --from-node STUDENT --to-node 'DOMAIN ADMINS'</w:t>
            </w:r>
          </w:p>
        </w:tc>
      </w:tr>
    </w:tbl>
    <w:p>
      <w:r>
        <w:rPr>
          <w:rFonts w:ascii="Liberation Mono" w:hAnsi="Liberation Mono"/>
        </w:rPr>
        <w:t xml:space="preserve">attack-path-model.py</w:t>
      </w:r>
      <w:r>
        <w:t xml:space="preserve"> melakukan BFS sederhana di graph JSON (</w:t>
      </w:r>
      <w:r>
        <w:rPr>
          <w:rFonts w:ascii="Liberation Mono" w:hAnsi="Liberation Mono"/>
        </w:rPr>
        <w:t xml:space="preserve">nodes</w:t>
      </w:r>
      <w:r>
        <w:t xml:space="preserve">/</w:t>
      </w:r>
      <w:r>
        <w:rPr>
          <w:rFonts w:ascii="Liberation Mono" w:hAnsi="Liberation Mono"/>
        </w:rPr>
        <w:t xml:space="preserve">edges</w:t>
      </w:r>
      <w:r>
        <w:t xml:space="preserve">) dan mencetak relationship chain dari </w:t>
      </w:r>
      <w:r>
        <w:rPr>
          <w:rFonts w:ascii="Liberation Mono" w:hAnsi="Liberation Mono"/>
        </w:rPr>
        <w:t xml:space="preserve">--from-node</w:t>
      </w:r>
      <w:r>
        <w:t xml:space="preserve"> ke </w:t>
      </w:r>
      <w:r>
        <w:rPr>
          <w:rFonts w:ascii="Liberation Mono" w:hAnsi="Liberation Mono"/>
        </w:rPr>
        <w:t xml:space="preserve">--to-node</w:t>
      </w:r>
      <w:r>
        <w:t xml:space="preserve">. Expected output </w:t>
      </w:r>
      <w:r>
        <w:rPr>
          <w:b/>
        </w:rPr>
        <w:t xml:space="preserve">hanya</w:t>
      </w:r>
      <w:r>
        <w:t xml:space="preserve"> menjelaskan relationship chain. Untuk setiap edge tulis: required privilege, object owner, expected change, rollback, dan telemetry. </w:t>
      </w:r>
      <w:r>
        <w:rPr>
          <w:b/>
        </w:rPr>
        <w:t xml:space="preserve">Jangan mengubah ACL di production</w:t>
      </w:r>
      <w:r>
        <w:t xml:space="preserve"> untuk membuktikan graph.</w:t>
      </w:r>
    </w:p>
    <w:p>
      <w:pPr>
        <w:pStyle w:val="Heading1"/>
      </w:pPr>
      <w:r>
        <w:t xml:space="preserve">6. BloodHound: Graph Evidence, Bukan Exploit Button</w:t>
      </w:r>
    </w:p>
    <w:p>
      <w:r>
        <w:t xml:space="preserve">BloodHound sangat berguna untuk menghubungkan principals, groups, computers, sessions, ACLs, trusts, dan delegation menjadi graph. Tapi </w:t>
      </w:r>
      <w:r>
        <w:rPr>
          <w:i/>
        </w:rPr>
        <w:t xml:space="preserve">shortest path</w:t>
      </w:r>
      <w:r>
        <w:t xml:space="preserve"> hanyalah </w:t>
      </w:r>
      <w:r>
        <w:rPr>
          <w:b/>
        </w:rPr>
        <w:t xml:space="preserve">hypothesis generator</w:t>
      </w:r>
      <w:r>
        <w:t xml:space="preserve">. Stale session, deny ACL, host offline, hardening, selective authentication, protected users, atau perubahan topology bisa memutus path yang terlihat valid.</w:t>
      </w:r>
    </w:p>
    <w:p>
      <w:pPr>
        <w:pStyle w:val="Heading2"/>
      </w:pPr>
      <w:r>
        <w:t xml:space="preserve">Lab 07 — Attack-Path Triage Worksheet</w:t>
      </w:r>
    </w:p>
    <w:p>
      <w:pPr>
        <w:numPr>
          <w:numId w:val="1"/>
        </w:numPr>
      </w:pPr>
      <w:r>
        <w:t xml:space="preserve">Pilih satu path dari synthetic graph atau BloodHound CE di GOAD/MINILAB.</w:t>
      </w:r>
    </w:p>
    <w:p>
      <w:pPr>
        <w:numPr>
          <w:numId w:val="1"/>
        </w:numPr>
      </w:pPr>
      <w:r>
        <w:t xml:space="preserve">Untuk setiap edge tulis: evidence source, required privilege, target object, expected impact, dan uncertainty.</w:t>
      </w:r>
    </w:p>
    <w:p>
      <w:pPr>
        <w:numPr>
          <w:numId w:val="1"/>
        </w:numPr>
      </w:pPr>
      <w:r>
        <w:t xml:space="preserve">Beri label edge: </w:t>
      </w:r>
      <w:r>
        <w:rPr>
          <w:rFonts w:ascii="Liberation Mono" w:hAnsi="Liberation Mono"/>
        </w:rPr>
        <w:t xml:space="preserve">confirmed</w:t>
      </w:r>
      <w:r>
        <w:t xml:space="preserve">, </w:t>
      </w:r>
      <w:r>
        <w:rPr>
          <w:rFonts w:ascii="Liberation Mono" w:hAnsi="Liberation Mono"/>
        </w:rPr>
        <w:t xml:space="preserve">likely</w:t>
      </w:r>
      <w:r>
        <w:t xml:space="preserve">, </w:t>
      </w:r>
      <w:r>
        <w:rPr>
          <w:rFonts w:ascii="Liberation Mono" w:hAnsi="Liberation Mono"/>
        </w:rPr>
        <w:t xml:space="preserve">stale/unknown</w:t>
      </w:r>
      <w:r>
        <w:t xml:space="preserve">, atau </w:t>
      </w:r>
      <w:r>
        <w:rPr>
          <w:rFonts w:ascii="Liberation Mono" w:hAnsi="Liberation Mono"/>
        </w:rPr>
        <w:t xml:space="preserve">not-applicable</w:t>
      </w:r>
      <w:r>
        <w:t xml:space="preserve">.</w:t>
      </w:r>
    </w:p>
    <w:p>
      <w:pPr>
        <w:numPr>
          <w:numId w:val="1"/>
        </w:numPr>
      </w:pPr>
      <w:r>
        <w:t xml:space="preserve">Jangan menjalankan abuse action sebelum semua precondition dan scope gate terpenuhi (lihat §9).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5F3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6D28D9"/>
                <w:sz w:val="19"/>
              </w:rPr>
              <w:t xml:space="preserve">Think like an operator.</w:t>
            </w:r>
          </w:p>
          <w:p>
            <w:pPr>
              <w:spacing w:after="0"/>
            </w:pPr>
            <w:r>
              <w:t xml:space="preserve">Path yang lebih pendek belum tentu lebih aman atau lebih reliable. Pilih path berdasarkan evidence quality, blast radius, detectability, reversibility, dan Rules of Engagement.</w:t>
            </w:r>
          </w:p>
        </w:tc>
      </w:tr>
    </w:tbl>
    <w:p>
      <w:pPr>
        <w:pStyle w:val="Heading2"/>
      </w:pPr>
      <w:r>
        <w:t xml:space="preserve">Evidence-quality scoring untuk graph triage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Level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Meaning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 — confirmed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raw current evidence + principal context + target state terverifikasi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 — strong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current relationship terverifikasi; satu operational precondition tersisa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 — candidate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collector/synthetic edge ada, tapi freshness/effective control belum diketahui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 — stale/invalid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relationship sudah tidak ada atau policy memblokir path</w:t>
            </w:r>
          </w:p>
        </w:tc>
      </w:tr>
    </w:tbl>
    <w:p>
      <w:pPr>
        <w:pStyle w:val="Heading1"/>
      </w:pPr>
      <w:r>
        <w:t xml:space="preserve">7. Trusts dan Cross-Domain Attack Paths</w:t>
      </w:r>
    </w:p>
    <w:p>
      <w:r>
        <w:t xml:space="preserve">AD trusts menentukan authentication path antar-domain/forest. Direction, transitivity, trust type, selective authentication, dan SID filtering memengaruhi apa yang mungkin dilakukan. </w:t>
      </w:r>
      <w:r>
        <w:rPr>
          <w:b/>
        </w:rPr>
        <w:t xml:space="preserve">Forest adalah security boundary penting</w:t>
      </w:r>
      <w:r>
        <w:t xml:space="preserve"> — forest trust tidak otomatis membuat semua privilege menyeberang.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One-way example: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ACCOUNT domain A ---&gt; RESOURCE domain B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Authentication path allowed only if trust direction supports it,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then resource B still performs authorization.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Forest trust: transitive across the two participating forests,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but it does not implicitly create trust to a third forest.</w:t>
            </w:r>
          </w:p>
        </w:tc>
      </w:tr>
    </w:tbl>
    <w:p>
      <w:pPr>
        <w:pStyle w:val="Heading2"/>
      </w:pPr>
      <w:r>
        <w:t xml:space="preserve">Lab 08 — Read-only Trust Inventory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.\trust-inventory.ps1</w:t>
            </w:r>
          </w:p>
        </w:tc>
      </w:tr>
    </w:tbl>
    <w:p>
      <w:pPr>
        <w:pStyle w:val="Heading2"/>
      </w:pPr>
      <w:r>
        <w:t xml:space="preserve">Lab 09 — Synthetic Trust Reasoning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trust-path.py sample-trust.json</w:t>
            </w:r>
          </w:p>
        </w:tc>
      </w:tr>
    </w:tbl>
    <w:p>
      <w:r>
        <w:rPr>
          <w:rFonts w:ascii="Liberation Mono" w:hAnsi="Liberation Mono"/>
        </w:rPr>
        <w:t xml:space="preserve">trust-path.py</w:t>
      </w:r>
      <w:r>
        <w:t xml:space="preserve"> mencetak tiap trust sebagai </w:t>
      </w:r>
      <w:r>
        <w:rPr>
          <w:rFonts w:ascii="Liberation Mono" w:hAnsi="Liberation Mono"/>
        </w:rPr>
        <w:t xml:space="preserve">source -&gt; target | direction | type | transitive=... | selectiveAuth=...</w:t>
      </w:r>
      <w:r>
        <w:t xml:space="preserve">, dengan catatan tambahan kalau selective authentication aktif.</w:t>
      </w:r>
    </w:p>
    <w:p>
      <w:pPr>
        <w:numPr>
          <w:numId w:val="1"/>
        </w:numPr>
      </w:pPr>
      <w:r>
        <w:t xml:space="preserve">Direction menjawab </w:t>
      </w:r>
      <w:r>
        <w:rPr>
          <w:b/>
        </w:rPr>
        <w:t xml:space="preserve">arah authentication path</w:t>
      </w:r>
      <w:r>
        <w:t xml:space="preserve">, bukan otomatis arah privilege escalation.</w:t>
      </w:r>
    </w:p>
    <w:p>
      <w:pPr>
        <w:numPr>
          <w:numId w:val="1"/>
        </w:numPr>
      </w:pPr>
      <w:r>
        <w:t xml:space="preserve">Transitive trust memperluas namespace yang bisa di-resolve/authenticate, tapi resource authorization tetap harus lolos.</w:t>
      </w:r>
    </w:p>
    <w:p>
      <w:pPr>
        <w:numPr>
          <w:numId w:val="1"/>
        </w:numPr>
      </w:pPr>
      <w:r>
        <w:t xml:space="preserve">Selective authentication dan SID filtering adalah control yang harus dicatat ketika menilai cross-domain hypothesis.</w:t>
      </w:r>
    </w:p>
    <w:p>
      <w:pPr>
        <w:pStyle w:val="Heading1"/>
      </w:pPr>
      <w:r>
        <w:t xml:space="preserve">8. AD CS: Certificate Identity sebagai Attack-Path Surface</w:t>
      </w:r>
    </w:p>
    <w:p>
      <w:r>
        <w:t xml:space="preserve">Active Directory Certificate Services (AD CS) menghubungkan PKI dengan AD. Enterprise CA memakai certificate template yang tersimpan di AD. Dari perspektif security assessment, fokus utamanya: siapa boleh enroll, subject/identity berasal dari mana, EKU apa yang diizinkan, apakah approval/signature diperlukan, dan apakah certificate bisa dipakai untuk authentication.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Template property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Review question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Risk signal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Enrollment rights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siapa boleh enroll?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broad low-priv enrollment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Subject/SAN control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siapa menentukan identity pada certificate?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requester bisa memasukkan identity sensitif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EKU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certificate dipakai untuk apa?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client authentication/smartcard-like auth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Manager approval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ada human gate?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tidak ada approval pada template sensitif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Authorized signatures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butuh enrollment agent/signature?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tidak ada signature requirement</w:t>
            </w:r>
          </w:p>
        </w:tc>
      </w:tr>
    </w:tbl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Certificate identity flow: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Requester -&gt; Certificate Template policy -&gt; Enterprise CA -&gt; Certificate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|         |               |      |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|         + rights / name / EKU  + issuance + may later be used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+ authenticated identity                      for TLS or AD auth</w:t>
            </w:r>
          </w:p>
        </w:tc>
      </w:tr>
    </w:tbl>
    <w:p>
      <w:r>
        <w:t xml:space="preserve">Risk muncul dari </w:t>
      </w:r>
      <w:r>
        <w:rPr>
          <w:b/>
        </w:rPr>
        <w:t xml:space="preserve">kombinasi controls</w:t>
      </w:r>
      <w:r>
        <w:t xml:space="preserve">, bukan satu flag. Contoh: broad enrollment + requester-controlled subject/SAN + authentication-capable EKU + tanpa approval/signature gate adalah kombinasi yang harus diprioritaskan untuk review. Template ownership/DACL dan CA publication juga masuk attack-path reasoning.</w:t>
      </w:r>
    </w:p>
    <w:p>
      <w:pPr>
        <w:pStyle w:val="Heading2"/>
      </w:pPr>
      <w:r>
        <w:t xml:space="preserve">Lab 10 — Read-only AD CS Inventory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.\adcs-inventory.ps1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hasil: 06-adcs/cas.csv dan templates.csv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EF2F2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91B1B"/>
                <w:sz w:val="19"/>
              </w:rPr>
              <w:t xml:space="preserve">Important.</w:t>
            </w:r>
          </w:p>
          <w:p>
            <w:pPr>
              <w:spacing w:after="0"/>
            </w:pPr>
            <w:r>
              <w:t xml:space="preserve">Risky template combination adalah </w:t>
            </w:r>
            <w:r>
              <w:rPr>
                <w:b/>
              </w:rPr>
              <w:t xml:space="preserve">hypothesis</w:t>
            </w:r>
            <w:r>
              <w:t xml:space="preserve">, bukan license untuk meminta certificate sebagai identity lain. Controlled issuance/abuse hanya di dedicated AD CS training lab yang memang menyediakan skenario tersebut.</w:t>
            </w:r>
          </w:p>
        </w:tc>
      </w:tr>
    </w:tbl>
    <w:p>
      <w:pPr>
        <w:pStyle w:val="Heading1"/>
      </w:pPr>
      <w:r>
        <w:t xml:space="preserve">9. Controlled Validation Gate</w:t>
      </w:r>
    </w:p>
    <w:p>
      <w:r>
        <w:t xml:space="preserve">Sebelum mengubah object, meminta ticket khusus, melakukan certificate enrollment, atau mengeksekusi path, isi gate berikut. </w:t>
      </w:r>
      <w:r>
        <w:rPr>
          <w:b/>
        </w:rPr>
        <w:t xml:space="preserve">Kalau satu jawaban belum jelas, kembali ke enumeration.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Gate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Pertanyaan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Authorization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Apakah teknik ini explicitly permitted oleh RoE?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Precondition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Apakah privilege/relationship sudah dikonfirmasi, bukan hanya diasumsikan?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Blast radius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Apakah perubahan bisa memengaruhi user/service lain?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Rollback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Bagaimana mengembalikan ACL, delegation, certificate, group, atau service state?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Evidence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Apa minimum proof yang cukup tanpa menambah impact?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Telemetry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Log/event/process/network artifact apa yang kemungkinan muncul?</w:t>
            </w:r>
          </w:p>
        </w:tc>
      </w:tr>
    </w:tbl>
    <w:p>
      <w:pPr>
        <w:pStyle w:val="Heading2"/>
      </w:pPr>
      <w:r>
        <w:t xml:space="preserve">Lab 11 — Finding Hypothesis Note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finding-note.py module20-ad-paths/09-findings/path-01.md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--title "Delegation path hypothesis"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--evidence "Read-only inventory shows delegating principal and backend target."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--assumptions "Caller must control the delegating principal; backend authorization remains required."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--impact "Potential impersonation path if all preconditions hold."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--remediation "Remove unnecessary delegation and reduce control over service/resource objects."</w:t>
            </w:r>
          </w:p>
        </w:tc>
      </w:tr>
    </w:tbl>
    <w:p>
      <w:pPr>
        <w:pStyle w:val="Heading1"/>
      </w:pPr>
      <w:r>
        <w:t xml:space="preserve">10. Detection-Aware Kerberos &amp; AD Paths</w:t>
      </w:r>
    </w:p>
    <w:p>
      <w:r>
        <w:t xml:space="preserve">Red teamer yang bagus memahami jejak yang dibuat workflow-nya. Windows Security auditing bisa mencatat ticket activity pada DC dan perubahan directory pada object tertentu. AD CS juga punya audit event bila auditing diaktifkan.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Event/source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Makna umum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Correlation idea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4768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TGT requested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principal, source, encryption type, result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4769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Kerberos service ticket requested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service/SPN, account, encryption type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4771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Kerberos pre-authentication failed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principal + source + failure pattern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5136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Directory object modified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ACL/delegation/template object changes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4886/4887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certificate request received/issued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requester, template, CA, subject</w:t>
            </w:r>
          </w:p>
        </w:tc>
      </w:tr>
    </w:tbl>
    <w:p>
      <w:r>
        <w:t xml:space="preserve">Volume saja tidak cukup — banyak 4769 bisa normal pada service-heavy environment. Detection yang baik menggabungkan baseline, service name, account type, encryption, source host, privilege context, dan perubahan relationship yang terjadi sebelum/sesudah activity.</w:t>
      </w:r>
    </w:p>
    <w:p>
      <w:pPr>
        <w:pStyle w:val="Heading2"/>
      </w:pPr>
      <w:r>
        <w:t xml:space="preserve">Hardening/remediation map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Area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Defensive direction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Service identities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managed rotation/gMSA bila sesuai, least privilege, disable interactive use kalau tidak perlu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Kerberos crypto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prefer supported modern encryption; retire legacy dependency secara sistematis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Delegation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remove unused delegation, constrain target, protect sensitive principal/resource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ACLs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remove unnecessary write/control edge; tier administrative principal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Trusts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gunakan selective authentication/SID filtering bila sesuai; minimalkan cross-boundary admin path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AD CS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least-privilege enrollment, secure subject rules/EKU, approval/signature untuk template sensitif, monitor CA</w:t>
            </w:r>
          </w:p>
        </w:tc>
      </w:tr>
    </w:tbl>
    <w:p>
      <w:pPr>
        <w:pStyle w:val="Heading1"/>
      </w:pPr>
      <w:r>
        <w:t xml:space="preserve">11. Capstone — Build 3 Attack-Path Hypotheses</w:t>
      </w:r>
    </w:p>
    <w:p>
      <w:r>
        <w:t xml:space="preserve">Gunakan GOAD/MINILAB yang terisolasi atau synthetic dataset module ini. </w:t>
      </w:r>
      <w:r>
        <w:rPr>
          <w:b/>
        </w:rPr>
        <w:t xml:space="preserve">Objective capstone bukan mendapatkan Domain Admin</w:t>
      </w:r>
      <w:r>
        <w:t xml:space="preserve">, tapi menghasilkan tiga path hypothesis yang bisa diaudit:</w:t>
      </w:r>
    </w:p>
    <w:p>
      <w:pPr>
        <w:numPr>
          <w:numId w:val="1"/>
        </w:numPr>
      </w:pPr>
      <w:r>
        <w:rPr>
          <w:b/>
        </w:rPr>
        <w:t xml:space="preserve">Path A</w:t>
      </w:r>
      <w:r>
        <w:t xml:space="preserve"> — service identity/SPN related.</w:t>
      </w:r>
    </w:p>
    <w:p>
      <w:pPr>
        <w:numPr>
          <w:numId w:val="1"/>
        </w:numPr>
      </w:pPr>
      <w:r>
        <w:rPr>
          <w:b/>
        </w:rPr>
        <w:t xml:space="preserve">Path B</w:t>
      </w:r>
      <w:r>
        <w:t xml:space="preserve"> — delegation atau ACL relationship.</w:t>
      </w:r>
    </w:p>
    <w:p>
      <w:pPr>
        <w:numPr>
          <w:numId w:val="1"/>
        </w:numPr>
      </w:pPr>
      <w:r>
        <w:rPr>
          <w:b/>
        </w:rPr>
        <w:t xml:space="preserve">Path C</w:t>
      </w:r>
      <w:r>
        <w:t xml:space="preserve"> — trust atau AD CS related.</w:t>
      </w:r>
    </w:p>
    <w:p>
      <w:r>
        <w:t xml:space="preserve">Untuk setiap path, deliverable wajib:</w:t>
      </w:r>
    </w:p>
    <w:p>
      <w:pPr>
        <w:numPr>
          <w:numId w:val="1"/>
        </w:numPr>
      </w:pPr>
      <w:r>
        <w:t xml:space="preserve">Start principal dan target objective.</w:t>
      </w:r>
    </w:p>
    <w:p>
      <w:pPr>
        <w:numPr>
          <w:numId w:val="1"/>
        </w:numPr>
      </w:pPr>
      <w:r>
        <w:t xml:space="preserve">Relationship chain lengkap beserta evidence source.</w:t>
      </w:r>
    </w:p>
    <w:p>
      <w:pPr>
        <w:numPr>
          <w:numId w:val="1"/>
        </w:numPr>
      </w:pPr>
      <w:r>
        <w:t xml:space="preserve">Required privileges/preconditions per edge.</w:t>
      </w:r>
    </w:p>
    <w:p>
      <w:pPr>
        <w:numPr>
          <w:numId w:val="1"/>
        </w:numPr>
      </w:pPr>
      <w:r>
        <w:t xml:space="preserve">Apa yang bisa membuat path ini invalid.</w:t>
      </w:r>
    </w:p>
    <w:p>
      <w:pPr>
        <w:numPr>
          <w:numId w:val="1"/>
        </w:numPr>
      </w:pPr>
      <w:r>
        <w:t xml:space="preserve">Minimum-impact validation plan + rollback.</w:t>
      </w:r>
    </w:p>
    <w:p>
      <w:pPr>
        <w:numPr>
          <w:numId w:val="1"/>
        </w:numPr>
      </w:pPr>
      <w:r>
        <w:t xml:space="preserve">Likely telemetry dan detection opportunities.</w:t>
      </w:r>
    </w:p>
    <w:p>
      <w:pPr>
        <w:numPr>
          <w:numId w:val="1"/>
        </w:numPr>
      </w:pPr>
      <w:r>
        <w:t xml:space="preserve">Remediation yang menghilangkan root cause — bukan hanya block tool.</w:t>
      </w:r>
    </w:p>
    <w:p>
      <w:pPr>
        <w:pStyle w:val="Heading2"/>
      </w:pPr>
      <w:r>
        <w:t xml:space="preserve">Lab 12 — Evidence Manifest &amp; Closure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./evidence-manifest.sh module20-ad-paths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sha256sum -c module20-ad-paths/08-evidence/evidence-manifest.sha256</w:t>
            </w:r>
          </w:p>
        </w:tc>
      </w:tr>
    </w:tbl>
    <w:p>
      <w:pPr>
        <w:pStyle w:val="Heading2"/>
      </w:pPr>
      <w:r>
        <w:t xml:space="preserve">Worked example — hypothesis, bukan exploit plan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Step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Observation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Interpretation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1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STUDENT</w:t>
            </w:r>
            <w:r>
              <w:t xml:space="preserve"> MemberOf </w:t>
            </w:r>
            <w:r>
              <w:rPr>
                <w:rFonts w:ascii="Liberation Mono" w:hAnsi="Liberation Mono"/>
              </w:rPr>
              <w:t xml:space="preserve">HELPDESK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principal inherits helpdesk group rights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2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HELPDESK</w:t>
            </w:r>
            <w:r>
              <w:t xml:space="preserve"> </w:t>
            </w:r>
            <w:r>
              <w:rPr>
                <w:rFonts w:ascii="Liberation Mono" w:hAnsi="Liberation Mono"/>
              </w:rPr>
              <w:t xml:space="preserve">GenericWrite</w:t>
            </w:r>
            <w:r>
              <w:t xml:space="preserve"> </w:t>
            </w:r>
            <w:r>
              <w:rPr>
                <w:rFonts w:ascii="Liberation Mono" w:hAnsi="Liberation Mono"/>
              </w:rPr>
              <w:t xml:space="preserve">SVC_APP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verify which service-account attributes are actually writable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3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SVC_APP</w:t>
            </w:r>
            <w:r>
              <w:t xml:space="preserve"> controls </w:t>
            </w:r>
            <w:r>
              <w:rPr>
                <w:rFonts w:ascii="Liberation Mono" w:hAnsi="Liberation Mono"/>
              </w:rPr>
              <w:t xml:space="preserve">APP01</w:t>
            </w:r>
            <w:r>
              <w:t xml:space="preserve"> service context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confirm host/service ownership and effective authorization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4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APP01</w:t>
            </w:r>
            <w:r>
              <w:t xml:space="preserve"> has privileged reach to </w:t>
            </w:r>
            <w:r>
              <w:rPr>
                <w:rFonts w:ascii="Liberation Mono" w:hAnsi="Liberation Mono"/>
              </w:rPr>
              <w:t xml:space="preserve">FILE01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network reachability + local/service authorization still required</w:t>
            </w:r>
          </w:p>
        </w:tc>
      </w:tr>
    </w:tbl>
    <w:p>
      <w:r>
        <w:t xml:space="preserve">Kesimpulan yang benar: ada candidate relationship chain yang layak ditriage. </w:t>
      </w:r>
      <w:r>
        <w:rPr>
          <w:b/>
        </w:rPr>
        <w:t xml:space="preserve">Kesimpulan yang belum boleh dibuat:</w:t>
      </w:r>
      <w:r>
        <w:t xml:space="preserve"> "STUDENT pasti bisa menjadi Domain Admin". Gap antar-edge harus divalidasi satu per satu, dan minimum-impact proof harus dipilih berdasarkan RoE.</w:t>
      </w:r>
    </w:p>
    <w:p>
      <w:pPr>
        <w:pStyle w:val="Heading1"/>
      </w:pPr>
      <w:r>
        <w:t xml:space="preserve">12. Common Mistakes &amp; Troubleshooting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Symptom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Check first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klist</w:t>
            </w:r>
            <w:r>
              <w:t xml:space="preserve"> hampir kosong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pastikan session domain-authenticated dan service domain memang sudah diakses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SPN inventory kosong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cek </w:t>
            </w:r>
            <w:r>
              <w:rPr>
                <w:rFonts w:ascii="Liberation Mono" w:hAnsi="Liberation Mono"/>
              </w:rPr>
              <w:t xml:space="preserve">ActiveDirectory</w:t>
            </w:r>
            <w:r>
              <w:t xml:space="preserve"> module, domain connectivity, dan search scope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BloodHound path tidak bisa direproduce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cek session freshness, host state, deny ACL, protected users, trust controls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AD CS inventory kosong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pastikan enterprise CA/template memang ada dan </w:t>
            </w:r>
            <w:r>
              <w:rPr>
                <w:rFonts w:ascii="Liberation Mono" w:hAnsi="Liberation Mono"/>
              </w:rPr>
              <w:t xml:space="preserve">configurationNamingContext</w:t>
            </w:r>
            <w:r>
              <w:t xml:space="preserve"> terbaca</w:t>
            </w:r>
          </w:p>
        </w:tc>
      </w:tr>
    </w:tbl>
    <w:p>
      <w:pPr>
        <w:pStyle w:val="Heading1"/>
      </w:pPr>
      <w:r>
        <w:t xml:space="preserve">13. Knowledge Check</w:t>
      </w:r>
    </w:p>
    <w:p>
      <w:pPr>
        <w:numPr>
          <w:numId w:val="1"/>
        </w:numPr>
      </w:pPr>
      <w:r>
        <w:t xml:space="preserve">Apa perbedaan TGT dan service ticket dalam Kerberos?</w:t>
      </w:r>
    </w:p>
    <w:p>
      <w:pPr>
        <w:numPr>
          <w:numId w:val="1"/>
        </w:numPr>
      </w:pPr>
      <w:r>
        <w:t xml:space="preserve">Kenapa SPN adalah mapping identity/service, bukan vulnerability dengan sendirinya?</w:t>
      </w:r>
    </w:p>
    <w:p>
      <w:pPr>
        <w:numPr>
          <w:numId w:val="1"/>
        </w:numPr>
      </w:pPr>
      <w:r>
        <w:t xml:space="preserve">Apa perbedaan security boundary unconstrained, constrained, dan RBCD?</w:t>
      </w:r>
    </w:p>
    <w:p>
      <w:pPr>
        <w:numPr>
          <w:numId w:val="1"/>
        </w:numPr>
      </w:pPr>
      <w:r>
        <w:t xml:space="preserve">Kenapa </w:t>
      </w:r>
      <w:r>
        <w:rPr>
          <w:rFonts w:ascii="Liberation Mono" w:hAnsi="Liberation Mono"/>
        </w:rPr>
        <w:t xml:space="preserve">GenericWrite</w:t>
      </w:r>
      <w:r>
        <w:t xml:space="preserve"> harus dianalisis per attribute/object, bukan dianggap setara </w:t>
      </w:r>
      <w:r>
        <w:rPr>
          <w:rFonts w:ascii="Liberation Mono" w:hAnsi="Liberation Mono"/>
        </w:rPr>
        <w:t xml:space="preserve">GenericAll</w:t>
      </w:r>
      <w:r>
        <w:t xml:space="preserve">?</w:t>
      </w:r>
    </w:p>
    <w:p>
      <w:pPr>
        <w:numPr>
          <w:numId w:val="1"/>
        </w:numPr>
      </w:pPr>
      <w:r>
        <w:t xml:space="preserve">Apa tiga alasan BloodHound shortest path bisa stale atau not-applicable?</w:t>
      </w:r>
    </w:p>
    <w:p>
      <w:pPr>
        <w:numPr>
          <w:numId w:val="1"/>
        </w:numPr>
      </w:pPr>
      <w:r>
        <w:t xml:space="preserve">Bagaimana direction dan selective authentication mengubah analisis trust?</w:t>
      </w:r>
    </w:p>
    <w:p>
      <w:pPr>
        <w:pStyle w:val="Heading2"/>
      </w:pPr>
      <w:r>
        <w:t xml:space="preserve">Self-review answer cues</w:t>
      </w:r>
    </w:p>
    <w:p>
      <w:pPr>
        <w:numPr>
          <w:numId w:val="1"/>
        </w:numPr>
      </w:pPr>
      <w:r>
        <w:t xml:space="preserve">TGT dipakai untuk meminta service ticket; service ticket ditujukan ke SPN/service tertentu.</w:t>
      </w:r>
    </w:p>
    <w:p>
      <w:pPr>
        <w:numPr>
          <w:numId w:val="1"/>
        </w:numPr>
      </w:pPr>
      <w:r>
        <w:t xml:space="preserve">SPN memetakan service instance ke sign-in account; risk baru muncul dari lifecycle, crypto, privilege, dan relationship lain.</w:t>
      </w:r>
    </w:p>
    <w:p>
      <w:pPr>
        <w:numPr>
          <w:numId w:val="1"/>
        </w:numPr>
      </w:pPr>
      <w:r>
        <w:t xml:space="preserve">Delegation harus dibaca sebagai policy boundary: siapa boleh bertindak untuk siapa dan ke backend mana.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GenericWrite</w:t>
      </w:r>
      <w:r>
        <w:t xml:space="preserve"> tidak selalu memberi capability yang sama; attribute yang writable menentukan impact.</w:t>
      </w:r>
    </w:p>
    <w:p>
      <w:pPr>
        <w:numPr>
          <w:numId w:val="1"/>
        </w:numPr>
      </w:pPr>
      <w:r>
        <w:t xml:space="preserve">BloodHound path bisa stale karena session, ACL, topology, host state, trust controls, atau protection mechanism berubah.</w:t>
      </w:r>
    </w:p>
    <w:p>
      <w:pPr>
        <w:numPr>
          <w:numId w:val="1"/>
        </w:numPr>
      </w:pPr>
      <w:r>
        <w:t xml:space="preserve">Trust memperluas authentication path; authorization resource dan boundary controls tetap menentukan access akhir.</w:t>
      </w:r>
    </w:p>
    <w:p>
      <w:pPr>
        <w:pStyle w:val="Heading1"/>
      </w:pPr>
      <w:r>
        <w:t xml:space="preserve">14. Attack-Path Worksheet Template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1993"/>
        <w:gridCol w:w="1993"/>
        <w:gridCol w:w="1993"/>
        <w:gridCol w:w="1993"/>
        <w:gridCol w:w="1993"/>
      </w:tblGrid>
      <w:tr>
        <w:tc>
          <w:tcPr>
            <w:tcW w:type="dxa" w:w="1993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Step</w:t>
            </w:r>
          </w:p>
        </w:tc>
        <w:tc>
          <w:tcPr>
            <w:tcW w:type="dxa" w:w="1993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Principal</w:t>
            </w:r>
          </w:p>
        </w:tc>
        <w:tc>
          <w:tcPr>
            <w:tcW w:type="dxa" w:w="1993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Relationship</w:t>
            </w:r>
          </w:p>
        </w:tc>
        <w:tc>
          <w:tcPr>
            <w:tcW w:type="dxa" w:w="1993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Target</w:t>
            </w:r>
          </w:p>
        </w:tc>
        <w:tc>
          <w:tcPr>
            <w:tcW w:type="dxa" w:w="1993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Evidence/uncertainty</w:t>
            </w:r>
          </w:p>
        </w:tc>
      </w:tr>
      <w:tr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1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</w:tr>
      <w:tr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2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</w:tr>
      <w:tr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3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</w:tr>
      <w:tr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4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  <w:tc>
          <w:tcPr>
            <w:tcW w:type="dxa" w:w="1993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________</w:t>
            </w:r>
          </w:p>
        </w:tc>
      </w:tr>
    </w:tbl>
    <w:p>
      <w:pPr>
        <w:pStyle w:val="Heading1"/>
      </w:pPr>
      <w:r>
        <w:t xml:space="preserve">15. Completion Checklist</w:t>
      </w:r>
    </w:p>
    <w:p>
      <w:r>
        <w:t xml:space="preserve">[ ] 12 guided labs selesai dan evidence tersimpan di workspace dengan permission terbatas.</w:t>
      </w:r>
    </w:p>
    <w:p>
      <w:r>
        <w:t xml:space="preserve">[ ] Minimal tiga attack-path hypothesis mempunyai evidence, precondition, uncertainty, telemetry, rollback, dan remediation.</w:t>
      </w:r>
    </w:p>
    <w:p>
      <w:r>
        <w:t xml:space="preserve">[ ] Tidak ada domain production yang dimodifikasi untuk sekadar membuktikan graph relationship.</w:t>
      </w:r>
    </w:p>
    <w:p>
      <w:r>
        <w:t xml:space="preserve">[ ] Evidence manifest SHA-256 berhasil diverifikasi sebelum module ditutup.</w:t>
      </w:r>
    </w:p>
    <w:p>
      <w:pPr>
        <w:pStyle w:val="Heading1"/>
      </w:pPr>
      <w:r>
        <w:t xml:space="preserve">16. Deliverables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20-kerberos-ad-attack-paths/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README.md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docx/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├── pdf/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└── labs/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workspace-init.sh          — scaffold workspace (00-scope … 10-summary)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spn-risk-review.py         — scoring candidate SPN risk dari CSV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attack-path-model.py       — BFS synthetic graph JSON --from-node/--to-node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delegation-path.py         — penjelasan mode delegation dari JSON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trust-path.py              — ringkasan direction/transitivity trust dari JSON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finding-note.py            — generate hypothesis note (evidence/assumptions/impact/remediation)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evidence-manifest.sh       — SHA-256 manifest seluruh workspace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ticket-cache.ps1           — read-only klist/ticket inventory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delegation-inventory.ps1   — read-only delegation inventory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trust-inventory.ps1        — Get-ADTrust read-only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adcs-inventory.ps1         — enterprise CA + template inventory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├── sample-spns.csv, sample-acl.json, sample-delegation.json, sample-trust.json — synthetic fixtures</w:t>
            </w:r>
          </w:p>
        </w:tc>
      </w:tr>
    </w:tbl>
    <w:p>
      <w:pPr>
        <w:pStyle w:val="Heading1"/>
      </w:pPr>
      <w:r>
        <w:t xml:space="preserve">17. Compact Cheat Sheet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Area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Read-only question/command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Ticket cache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klist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SPNs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Get-ADUser -LDAPFilter '(servicePrincipalName=*)' ...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Delegation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TrustedForDelegation</w:t>
            </w:r>
            <w:r>
              <w:t xml:space="preserve"> / </w:t>
            </w:r>
            <w:r>
              <w:rPr>
                <w:rFonts w:ascii="Liberation Mono" w:hAnsi="Liberation Mono"/>
              </w:rPr>
              <w:t xml:space="preserve">msDS-AllowedToDelegateTo</w:t>
            </w:r>
            <w:r>
              <w:t xml:space="preserve"> / </w:t>
            </w:r>
            <w:r>
              <w:rPr>
                <w:rFonts w:ascii="Liberation Mono" w:hAnsi="Liberation Mono"/>
              </w:rPr>
              <w:t xml:space="preserve">PrincipalsAllowedToDelegateToAccount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ACL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Who controls this object, attribute, DACL, or owner?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Trust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Get-ADTrust -Filter *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AD CS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Inventory enterprise CA + template + EKU/name/enrollment flags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Graph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Path = relationship hypothesis; validate every edge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Evidence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Timestamp + raw export + notes + SHA-256 + cleanup status</w:t>
            </w:r>
          </w:p>
        </w:tc>
      </w:tr>
    </w:tbl>
    <w:p>
      <w:pPr>
        <w:pStyle w:val="Heading1"/>
      </w:pPr>
      <w:r>
        <w:t xml:space="preserve">18. References</w:t>
      </w:r>
    </w:p>
    <w:p>
      <w:pPr>
        <w:numPr>
          <w:numId w:val="1"/>
        </w:numPr>
      </w:pPr>
      <w:r>
        <w:t xml:space="preserve">Microsoft Learn — Kerberos authentication overview</w:t>
      </w:r>
    </w:p>
    <w:p>
      <w:pPr>
        <w:numPr>
          <w:numId w:val="1"/>
        </w:numPr>
      </w:pPr>
      <w:r>
        <w:t xml:space="preserve">Microsoft Learn — Service principal names</w:t>
      </w:r>
    </w:p>
    <w:p>
      <w:pPr>
        <w:numPr>
          <w:numId w:val="1"/>
        </w:numPr>
      </w:pPr>
      <w:r>
        <w:t xml:space="preserve">Microsoft Learn — Kerberos constrained delegation overview</w:t>
      </w:r>
    </w:p>
    <w:p>
      <w:pPr>
        <w:numPr>
          <w:numId w:val="1"/>
        </w:numPr>
      </w:pPr>
      <w:r>
        <w:t xml:space="preserve">Microsoft Learn — Active Directory trusts/key AD DS terms</w:t>
      </w:r>
    </w:p>
    <w:p>
      <w:pPr>
        <w:numPr>
          <w:numId w:val="1"/>
        </w:numPr>
      </w:pPr>
      <w:r>
        <w:t xml:space="preserve">Microsoft Learn — Certificate template concepts</w:t>
      </w:r>
    </w:p>
    <w:p>
      <w:pPr>
        <w:numPr>
          <w:numId w:val="1"/>
        </w:numPr>
      </w:pPr>
      <w:r>
        <w:t xml:space="preserve">Microsoft Learn — Events to monitor (4768/4769/4771)</w:t>
      </w:r>
    </w:p>
    <w:p>
      <w:pPr>
        <w:numPr>
          <w:numId w:val="1"/>
        </w:numPr>
      </w:pPr>
      <w:r>
        <w:t xml:space="preserve">SpecterOps — BloodHound documentation</w:t>
      </w:r>
    </w:p>
    <w:p>
      <w:pPr>
        <w:numPr>
          <w:numId w:val="1"/>
        </w:numPr>
      </w:pPr>
      <w:r>
        <w:t xml:space="preserve">Orange Cyberdefense — GOAD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Next module:</w:t>
            </w:r>
          </w:p>
          <w:p>
            <w:pPr>
              <w:spacing w:after="0"/>
            </w:pPr>
            <w:r>
              <w:t xml:space="preserve">21-pivoting-lateral-movement — identity, authorization, network reachability, segmentation, dan session evidence untuk memahami bagaimana akses berpindah antar-host/subnet tanpa kehilangan scope discipline.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652" w:right="748" w:bottom="652" w:left="748" w:header="272" w:footer="27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Kerberos &amp; AD Attack Paths  •  Omarchy / Arch Linux Edition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RED TEAM LEARNING PATH  /  MODULE 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ptos" w:hAnsi="Aptos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30" w:after="56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8324A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96" w:after="36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6E7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70" w:after="24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D97706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8324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40" w:line="240" w:lineRule="auto"/>
    </w:pPr>
    <w:rPr>
      <w:rFonts w:ascii="Aptos" w:hAnsi="Aptos"/>
      <w:sz w:val="1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24" w:after="40" w:line="240" w:lineRule="auto"/>
    </w:pPr>
    <w:rPr>
      <w:rFonts w:ascii="Cascadia Mono" w:hAnsi="Cascadia Mono"/>
      <w:color w:val="263238"/>
      <w:sz w:val="14"/>
    </w:rPr>
  </w:style>
  <w:style w:type="paragraph" w:customStyle="1" w:styleId="Small">
    <w:name w:val="Small"/>
    <w:pPr>
      <w:spacing w:after="30"/>
    </w:pPr>
    <w:rPr>
      <w:rFonts w:ascii="Aptos" w:hAnsi="Aptos"/>
      <w:color w:val="5B6770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learn.microsoft.com/en-us/windows-server/identity/ad-ds/get-started/virtual-dc/active-directory-domain-services-overview" TargetMode="External"/><Relationship Id="rId12" Type="http://schemas.openxmlformats.org/officeDocument/2006/relationships/hyperlink" Target="https://learn.microsoft.com/en-us/windows-server/identity/ad-ds/plan/understanding-the-active-directory-logical-model" TargetMode="External"/><Relationship Id="rId13" Type="http://schemas.openxmlformats.org/officeDocument/2006/relationships/hyperlink" Target="https://learn.microsoft.com/en-us/windows-server/identity/ad-ds/manage/dc-locator" TargetMode="External"/><Relationship Id="rId14" Type="http://schemas.openxmlformats.org/officeDocument/2006/relationships/hyperlink" Target="https://learn.microsoft.com/windows-server/security/kerberos/kerberos-authentication-overview" TargetMode="External"/><Relationship Id="rId15" Type="http://schemas.openxmlformats.org/officeDocument/2006/relationships/hyperlink" Target="https://learn.microsoft.com/en-us/windows/win32/ad/service-principal-names" TargetMode="External"/><Relationship Id="rId16" Type="http://schemas.openxmlformats.org/officeDocument/2006/relationships/hyperlink" Target="https://learn.microsoft.com/en-us/windows-server/identity/ad-ds/manage/understand-security-groups" TargetMode="External"/><Relationship Id="rId17" Type="http://schemas.openxmlformats.org/officeDocument/2006/relationships/hyperlink" Target="https://learn.microsoft.com/en-us/windows-server/identity/ad-ds/manage/group-policy/group-policy-scope" TargetMode="External"/><Relationship Id="rId18" Type="http://schemas.openxmlformats.org/officeDocument/2006/relationships/hyperlink" Target="https://learn.microsoft.com/en-us/openspecs/windows_protocols/ms-gpod/b724bd91-e224-4524-b752-5f810a0cc071" TargetMode="External"/><Relationship Id="rId19" Type="http://schemas.openxmlformats.org/officeDocument/2006/relationships/hyperlink" Target="https://github.com/Orange-Cyberdefense/GOAD" TargetMode="External"/><Relationship Id="rId20" Type="http://schemas.openxmlformats.org/officeDocument/2006/relationships/hyperlink" Target="https://github.com/Orange-Cyberdefense/GOAD/tree/main/ad/MINILAB" TargetMode="External"/><Relationship Id="rId21" Type="http://schemas.openxmlformats.org/officeDocument/2006/relationships/hyperlink" Target="https://learn.microsoft.com/windows-server/security/kerberos/kerberos-constrained-delegation-overview" TargetMode="External"/><Relationship Id="rId22" Type="http://schemas.openxmlformats.org/officeDocument/2006/relationships/hyperlink" Target="https://learn.microsoft.com/en-us/windows-server/identity/ad-ds/plan/appendix-a--reviewing-key-ad-ds-terms" TargetMode="External"/><Relationship Id="rId23" Type="http://schemas.openxmlformats.org/officeDocument/2006/relationships/hyperlink" Target="https://learn.microsoft.com/en-us/windows-server/identity/ad-cs/certificate-template-concepts" TargetMode="External"/><Relationship Id="rId24" Type="http://schemas.openxmlformats.org/officeDocument/2006/relationships/hyperlink" Target="https://learn.microsoft.com/en-us/windows-server/identity/ad-ds/plan/Appendix-L--Events-to-Monitor" TargetMode="External"/><Relationship Id="rId25" Type="http://schemas.openxmlformats.org/officeDocument/2006/relationships/hyperlink" Target="https://bloodhound.specterops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 Team Module 18 - Active Directory Fundamentals</dc:title>
  <dc:subject>Active Directory fundamentals for authorized Red Team training on Omarchy / Arch Linux</dc:subject>
  <dc:creator>OpenAI - generated learning module</dc:creator>
  <cp:keywords>red team, active directory, kerberos, ldap, dns, group policy, omarchy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