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Санкт-Петербургский государственный политехнический университет</w:t>
      </w:r>
    </w:p>
    <w:p>
      <w:pPr>
        <w:ind w:firstLine="0"/>
        <w:jc w:val="center"/>
      </w:pPr>
      <w:r>
        <w:t>Институт компьютерных наук и кибербезопасности</w:t>
      </w:r>
    </w:p>
    <w:p>
      <w:pPr>
        <w:ind w:firstLine="0"/>
        <w:jc w:val="center"/>
      </w:pPr>
      <w:r>
        <w:t>Высшая школа программной инженерии</w:t>
      </w:r>
    </w:p>
    <w:p>
      <w:r>
        <w:br/>
        <w:br/>
        <w:br/>
        <w:br/>
      </w:r>
    </w:p>
    <w:p>
      <w:pPr>
        <w:pStyle w:val="Title"/>
        <w:spacing w:after="240"/>
        <w:ind w:firstLine="0"/>
        <w:jc w:val="center"/>
      </w:pPr>
      <w:r>
        <w:t>ОТЧЁТ ПО КУРСОВОЙ РАБОТЕ</w:t>
      </w:r>
    </w:p>
    <w:p>
      <w:pPr>
        <w:ind w:firstLine="0"/>
        <w:jc w:val="center"/>
      </w:pPr>
      <w:r>
        <w:t>по дисциплине «Управление конфигурацией программного обеспечения»</w:t>
      </w:r>
    </w:p>
    <w:p>
      <w:pPr>
        <w:ind w:firstLine="0"/>
        <w:jc w:val="center"/>
      </w:pPr>
      <w:r>
        <w:t>Тема: «Retrieval-Augment Generation система для обработки файловой документации»</w:t>
      </w:r>
    </w:p>
    <w:p>
      <w:r>
        <w:br/>
        <w:br/>
        <w:br/>
      </w:r>
    </w:p>
    <w:p>
      <w:pPr>
        <w:ind w:firstLine="0"/>
        <w:jc w:val="right"/>
      </w:pPr>
      <w:r>
        <w:t>Выполнил: студент группы 5140904/60202</w:t>
        <w:br/>
        <w:t>Вайцеховский Е. Т.</w:t>
      </w:r>
    </w:p>
    <w:p>
      <w:pPr>
        <w:ind w:firstLine="0"/>
        <w:jc w:val="right"/>
      </w:pPr>
      <w:r>
        <w:t>Преподаватель: Е. А. Павлов</w:t>
      </w:r>
    </w:p>
    <w:p>
      <w:r>
        <w:br/>
        <w:br/>
        <w:br/>
        <w:br/>
      </w:r>
    </w:p>
    <w:p>
      <w:pPr>
        <w:ind w:firstLine="0"/>
        <w:jc w:val="center"/>
      </w:pPr>
      <w:r>
        <w:t>Санкт-Петербург — 2026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Работа посвящена развитию модуля преобразования файловой документации в векторные представления до прикладной системы Retrieval-Augmented Generation (RAG). В такой системе ответ языковой модели опирается на фрагменты документов, найденные в локальной базе знаний. Это позволяет задавать вопросы по файловому архиву через веб-интерфейс, сохраняя связь ответа с доступной пользователю документацией.</w:t>
      </w:r>
    </w:p>
    <w:p>
      <w:r>
        <w:t>Цель курсовой работы — собрать работающие прикладные компоненты в воспроизводимую конфигурацию и обеспечить наблюдаемость системы. Для дисциплины «Управление конфигурацией программного обеспечения» особое значение имеют состав сервисов, контроль зависимостей, сборка образов, параметры окружения, развёртывание инфраструктуры и метрики. Поэтому в отчёте описаны не только сценарии RAG, но и то, как исходный код превращается в контейнеры и как оценивается их работа.</w:t>
      </w:r>
    </w:p>
    <w:p>
      <w:r>
        <w:t>Основанием служит документ согласования темы [1]. Описание реализации составлено по состоянию исходного кода и конфигурации проекта на октябрь 2026 г. [2–7]. Запланированные и фактически реализованные элементы разделены, чтобы не приписывать проекту отсутствующие механизмы.</w:t>
      </w:r>
    </w:p>
    <w:p>
      <w:pPr>
        <w:pStyle w:val="Heading1"/>
      </w:pPr>
      <w:r>
        <w:t>1. Постановка задачи</w:t>
      </w:r>
    </w:p>
    <w:p>
      <w:r>
        <w:t>Согласно согласованию [1], исходной точкой был уже разработанный сервис обработки документов в эмбеддинги. Требовалось дополнить его поиском по векторной базе, локальной языковой моделью, пользовательским интерфейсом, аутентификацией, API Gateway и сервисом обнаружения. Инфраструктура должна описываться Docker Compose, а контейнеры Java сервисов — собираться многоэтапными Dockerfile. Последним заявленным блоком являлся мониторинг Prometheus и Grafana.</w:t>
      </w:r>
    </w:p>
    <w:p>
      <w:r>
        <w:t>Функциональные задачи работы: обнаруживать изменения в наблюдаемых каталогах; извлекать содержимое документов, сохранять метаданные и векторы; находить релевантные фрагменты с учётом прав доступа; формировать ответ локальной LLM; давать пользователю и администратору веб-интерфейс. Эксплуатационные задачи: описать зависимости и сетевую связность, автоматизировать сборку и запуск, сохранять состояние БД и мониторинга, получать технические и предметные метрики.</w:t>
      </w:r>
    </w:p>
    <w:p>
      <w:r>
        <w:t>Результатом является конфигурация, в которой пять Java сервисов и инфраструктурные компоненты перечислены в одном Compose файле. Сбор метрик с этих пяти сервисов настроен через Spring Boot Actuator и Micrometer, Prometheus выполняет опрос, а Grafana загружает источник данных и панель из файлов проекта.</w:t>
      </w:r>
    </w:p>
    <w:p>
      <w:pPr>
        <w:pStyle w:val="Heading1"/>
      </w:pPr>
      <w:r>
        <w:t>2. Архитектура и работа приложения</w:t>
      </w:r>
    </w:p>
    <w:p>
      <w:pPr>
        <w:pStyle w:val="Heading2"/>
      </w:pPr>
      <w:r>
        <w:t>2.1. Назначение компонентов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cantSplit/>
        </w:trPr>
        <w:tc>
          <w:tcPr>
            <w:tcW w:type="dxa" w:w="4677"/>
            <w:shd w:fill="E9EEF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4677"/>
            <w:shd w:fill="E9EEF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b/>
                <w:sz w:val="19"/>
              </w:rPr>
              <w:t>Роль в системе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ConvertMicroservice</w:t>
            </w:r>
          </w:p>
        </w:tc>
        <w:tc>
          <w:tcPr>
            <w:tcW w:type="dxa" w:w="680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Наблюдает за каталогами, отправляет события в Kafka, извлекает текст и медиа, индексирует документы и предоставляет статистику.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BotMicroservice</w:t>
            </w:r>
          </w:p>
        </w:tc>
        <w:tc>
          <w:tcPr>
            <w:tcW w:type="dxa" w:w="680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Выполняет семантический поиск, добавляет найденные фрагменты в запрос к LLM, выдаёт потоковый ответ и историю диалога.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MainMicroservice</w:t>
            </w:r>
          </w:p>
        </w:tc>
        <w:tc>
          <w:tcPr>
            <w:tcW w:type="dxa" w:w="680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Отдаёт веб-страницы, проводит LDAP аутентификацию, показывает диалог и административный интерфейс.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ApiGateway</w:t>
            </w:r>
          </w:p>
        </w:tc>
        <w:tc>
          <w:tcPr>
            <w:tcW w:type="dxa" w:w="680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Принимает API запросы, проверяет пользовательский токен в настроенных маршрутах и перенаправляет запросы к сервисам.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DiscoveryServer</w:t>
            </w:r>
          </w:p>
        </w:tc>
        <w:tc>
          <w:tcPr>
            <w:tcW w:type="dxa" w:w="680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Содержит реестр Eureka, который позволяет сервисам обнаруживать друг друга.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RagUtilLib</w:t>
            </w:r>
          </w:p>
        </w:tc>
        <w:tc>
          <w:tcPr>
            <w:tcW w:type="dxa" w:w="680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Общая Java библиотека с моделями документов, доступом к БД, поиском и правилами фильтрации по правам.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PostgreSQL + pgvector</w:t>
            </w:r>
          </w:p>
        </w:tc>
        <w:tc>
          <w:tcPr>
            <w:tcW w:type="dxa" w:w="680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Хранит метаданные, диалоги и векторные представления фрагментов.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Kafka / Ollama</w:t>
            </w:r>
          </w:p>
        </w:tc>
        <w:tc>
          <w:tcPr>
            <w:tcW w:type="dxa" w:w="680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Kafka передаёт события изменения файлов; Ollama обслуживает локальную языковую модель.</w:t>
            </w:r>
          </w:p>
        </w:tc>
      </w:tr>
    </w:tbl>
    <w:p>
      <w:pPr>
        <w:spacing w:after="0"/>
      </w:pPr>
    </w:p>
    <w:p>
      <w:r>
        <w:t>Все компоненты работают в сети Compose dev. Веб-интерфейс публикуется на порту 8080, Gateway — на 8765, Eureka — на 8761. Внутренние имена Compose используются сервисами как адреса зависимостей. Это избавляет контейнеры от необходимости обращаться к локальному адресу хоста для соединения друг с другом.</w:t>
      </w:r>
    </w:p>
    <w:p>
      <w:pPr>
        <w:pStyle w:val="Heading2"/>
      </w:pPr>
      <w:r>
        <w:t>2.2. Индексация документации</w:t>
      </w:r>
    </w:p>
    <w:p>
      <w:r>
        <w:t>ConvertMicroservice получает список корневых и исключаемых каталогов из конфигурации. При полной индексации каталог обходится рекурсивно; затем наблюдатель с интервалом опроса 1 с сообщает о создании, изменении и удалении файлов. Событие с путём и состоянием публикуется в топик Kafka filesCheck. Потребитель сервиса разбирает сообщение и передаёт файл в конвейер обработки. Таким образом обнаружение изменений отделено от тяжёлого преобразования и векторизации.</w:t>
      </w:r>
    </w:p>
    <w:p>
      <w:r>
        <w:t>Для поддерживаемых типов DOC, DOCX, XLSX и PDF сервис получает PDF представление с помощью LibreOffice/JodConverter или копирует готовый PDF. Из файлов извлекаются таблицы, изображения и текст. Текст нормализуется, делится на смысловые фрагменты и, если нужно, на меньшие части. К фрагментам добавляются метаданные: идентификатор документа, путь, заголовок и права доступа. Через общую библиотеку фрагменты и их эмбеддинги сохраняются в PostgreSQL с расширением pgvector. При повторной обработке записи документа и связанные фрагменты обновляются. Для администратора предусмотрены сведения о документах, каталогах и состоянии обработки.</w:t>
      </w:r>
    </w:p>
    <w:p>
      <w:r>
        <w:t>При сохранении документа счётчик обработки увеличивается. Пропущенные служебные, временные, пустые и нечитаемые файлы не входят в него. При ошибке разбора сообщения или обработки увеличивается счётчик ошибок. Эти особенности важны для правильной интерпретации показателей на панели Grafana. Событие удаления наблюдатель формирует, но в текущем потребителе проверка существования файла стоит до ветки DELETED: удаление записи после физического удаления файла требует исправления.</w:t>
      </w:r>
    </w:p>
    <w:p>
      <w:pPr>
        <w:pStyle w:val="Heading2"/>
      </w:pPr>
      <w:r>
        <w:t>2.3. Поиск, генерация и доступ</w:t>
      </w:r>
    </w:p>
    <w:p>
      <w:r>
        <w:t>Пользователь проходит аутентификацию в MainMicroservice через LDAP. В проекте предусмотрен встроенный каталог для локальной работы и настройка внешнего LDAP. Права пользователя передаются в вызовы поиска. BotMicroservice преобразует вопрос в векторный запрос и выполняет поиск близких фрагментов; при обычной настройке результаты фильтруются по разрешённым группам. Из найденного контекста формируется дополненный запрос к модели, которую локально обслуживает Ollama. Ответ передаётся потоком, а история диалога хранится отдельно. Административная страница доступна роли администратора и позволяет работать с настройками и обновлением прав на документы.</w:t>
      </w:r>
    </w:p>
    <w:p>
      <w:r>
        <w:t>Gateway имеет явные маршруты для API поиска, бота, конвертера и основного сервиса. На этих маршрутах применяется фильтр, проверяющий переданный пользовательский токен. Eureka используется для регистрации сервисов и обнаружения. Отдельный порт управления 9090 в каждом Java сервисе отдаёт Actuator endpoints; его не следует смешивать с пользовательским портом приложения.</w:t>
      </w:r>
    </w:p>
    <w:p>
      <w:pPr>
        <w:pStyle w:val="Heading1"/>
      </w:pPr>
      <w:r>
        <w:t>3. Управление конфигурацией и развёртывание</w:t>
      </w:r>
    </w:p>
    <w:p>
      <w:pPr>
        <w:pStyle w:val="Heading2"/>
      </w:pPr>
      <w:r>
        <w:t>3.1. Исходный код и зависимости</w:t>
      </w:r>
    </w:p>
    <w:p>
      <w:r>
        <w:t>Репозиторий разбит на отдельные Maven модули по сервисам и общую библиотеку RagUtilLib. Версия Java в POM файлов Java сервисов — 22, прикладной стек основан на Spring Boot. Общая библиотека сначала устанавливается в локальный Maven репозиторий внутри этапа сборки, после чего собирается конкретный сервис. Такая последовательность обеспечивает разрешение зависимостей без необходимости заранее готовить JAR на машине запуска.</w:t>
      </w:r>
    </w:p>
    <w:p>
      <w:r>
        <w:t>Конфигурация Spring хранится в application.yml каждого сервиса. Для контейнерного режима ключевые адреса — БД, Kafka, Eureka, Ollama и Gateway — переопределяются переменными окружения в docker-compose.yaml. Этот подход даёт одному и тому же JAR разные настройки для локального запуска и для сети контейнеров. Образы включают артефакты моделей и дополнительные ресурсы, необходимые сервисам во время работы.</w:t>
      </w:r>
    </w:p>
    <w:p>
      <w:pPr>
        <w:pStyle w:val="Heading2"/>
      </w:pPr>
      <w:r>
        <w:t>3.2. Многоэтапная сборка образов</w:t>
      </w:r>
    </w:p>
    <w:p>
      <w:r>
        <w:t>Для пяти Java сервисов применён многоэтапный Dockerfile. Первый этап использует Maven и JDK 22: копирует исходники RagUtilLib и выбранного сервиса, затем выполняет install библиотеки и package сервиса. Второй этап начинается с JRE 22 и получает из builder только готовый исполняемый JAR и нужные файлы приложения. Поэтому среда запуска не содержит исходники и Maven, а результат образа соответствует текущему коду репозитория. В Dockerfile используется -DskipTests: это ускоряет упаковку, но не заменяет отдельный прогон тестов.</w:t>
      </w:r>
    </w:p>
    <w:p>
      <w:r>
        <w:t>ConvertMicroservice — самый тяжёлый пример. Кроме JAR ему нужны LibreOffice и smbclient для работы с документами и файловыми правами, Python и CPU версии PyTorch для классификатора изображений, ONNX модель и другие ресурсы. Порядок COPY/RUN позволяет кэшировать установку системных и Python зависимостей до копирования объёмных моделей. CPU индекс PyTorch задан явно; GPU резервируется отдельно для контейнера Ollama. Сам классификатор не использует GPU.</w:t>
      </w:r>
    </w:p>
    <w:p>
      <w:pPr>
        <w:keepLines/>
        <w:spacing w:before="60" w:after="100" w:line="240" w:lineRule="auto"/>
        <w:ind w:firstLine="0" w:left="397" w:right="227"/>
      </w:pPr>
      <w:r>
        <w:rPr>
          <w:rFonts w:ascii="Consolas" w:hAnsi="Consolas"/>
          <w:sz w:val="18"/>
        </w:rPr>
        <w:t>FROM maven:3.9.8-sapmachine-22 AS builder</w:t>
        <w:br/>
      </w:r>
      <w:r>
        <w:rPr>
          <w:rFonts w:ascii="Consolas" w:hAnsi="Consolas"/>
          <w:sz w:val="18"/>
        </w:rPr>
        <w:t>COPY RagUtilLib /app/RagUtilLib</w:t>
        <w:br/>
      </w:r>
      <w:r>
        <w:rPr>
          <w:rFonts w:ascii="Consolas" w:hAnsi="Consolas"/>
          <w:sz w:val="18"/>
        </w:rPr>
        <w:t>COPY ConvertMicroservice /app/ConvertMicroservice</w:t>
        <w:br/>
      </w:r>
      <w:r>
        <w:rPr>
          <w:rFonts w:ascii="Consolas" w:hAnsi="Consolas"/>
          <w:sz w:val="18"/>
        </w:rPr>
        <w:t>RUN mvn -f /app/RagUtilLib/pom.xml -DskipTests install &amp;&amp; \</w:t>
        <w:br/>
      </w:r>
      <w:r>
        <w:rPr>
          <w:rFonts w:ascii="Consolas" w:hAnsi="Consolas"/>
          <w:sz w:val="18"/>
        </w:rPr>
        <w:t xml:space="preserve">    mvn -f /app/ConvertMicroservice/pom.xml -DskipTests package</w:t>
        <w:br/>
      </w:r>
      <w:r>
        <w:rPr>
          <w:rFonts w:ascii="Consolas" w:hAnsi="Consolas"/>
          <w:sz w:val="18"/>
        </w:rPr>
        <w:t>FROM eclipse-temurin:22.0.2_9-jre AS final</w:t>
        <w:br/>
      </w:r>
      <w:r>
        <w:rPr>
          <w:rFonts w:ascii="Consolas" w:hAnsi="Consolas"/>
          <w:sz w:val="18"/>
        </w:rPr>
        <w:t>COPY --from=builder /app/ConvertMicroservice/target/ConvertMicroservice.jar /app/convert.jar</w:t>
        <w:br/>
      </w:r>
    </w:p>
    <w:p>
      <w:r>
        <w:t>Фрагмент отражает принцип сборки; полный Dockerfile дополнительно устанавливает системные пакеты, Python зависимости и копирует модели. Для успешной сборки в контексте должны присутствовать предусмотренные проектом файлы моделей. Крупные внешние артефакты, а также образы pgvector и Ollama, остаются предпосылками запуска и должны быть подготовлены по инструкции проекта.</w:t>
      </w:r>
    </w:p>
    <w:p>
      <w:pPr>
        <w:pStyle w:val="Heading2"/>
      </w:pPr>
      <w:r>
        <w:t>3.3. Docker Compose как описание инфраструктуры</w:t>
      </w:r>
    </w:p>
    <w:p>
      <w:r>
        <w:t>docker-compose.yaml перечисляет прикладные сервисы, Kafka, PostgreSQL с pgvector, Ollama, Prometheus и Grafana. В файле заданы образы, контексты сборки, сеть dev, публикация портов, переменные окружения, зависимости порядка запуска, монтирование каталогов и тома. Команда docker compose up --build -d собирает и запускает описанный набор. На практике перед этим необходимо подготовить модели, локальные образы зависимостей и подходящее аппаратное окружение, в том числе NVIDIA GPU для указанной конфигурации Ollama.</w:t>
      </w:r>
    </w:p>
    <w:p>
      <w:r>
        <w:t>Данные PostgreSQL и Ollama монтируются на том db-data; Prometheus и Grafana используют отдельные prometheus-data и grafana-data. Постоянные тома предотвращают потерю соответствующего состояния при пересоздании контейнеров. При этом общий том для PostgreSQL и Ollama затрудняет разделение жизненных циклов данных и требует исправления перед промышленной эксплуатацией. Для ConvertMicroservice задан bind mount файловой системы хоста, позволяющий индексировать внешние каталоги; такая конфигурация привязана к конкретному окружению и требует ограничения области доступа.</w:t>
      </w:r>
    </w:p>
    <w:p>
      <w:r>
        <w:t>depends_on в Compose задаёт порядок старта контейнеров, но не доказывает готовность БД, Kafka или модели принимать запросы. В текущем Compose нет healthcheck для этих зависимостей, поэтому устойчивый запуск после холодного старта остаётся отдельной задачей. Также в репозитории не обнаружена конфигурация CI: сборку, тесты и выпуск образов пока нельзя считать автоматизированным конвейером.</w:t>
      </w:r>
    </w:p>
    <w:p>
      <w:pPr>
        <w:pStyle w:val="Heading2"/>
      </w:pPr>
      <w:r>
        <w:t>3.4. Параметры и секреты</w:t>
      </w:r>
    </w:p>
    <w:p>
      <w:r>
        <w:t>Прикладные параметры разделены между application.yml и окружением Compose. Такой способ удобен для изменения адресов сервисов и режимов обработки без пересборки исходников. Однако в проекте присутствуют встроенные учётные данные и служебные токены в конфигурации, а Dockerfile конвертера копирует файл учётных данных в образ. В отчёте эти значения намеренно не воспроизводятся. Для безопасного развёртывания их следует вынести в секреты или защищённые внешние переменные, заменить уже опубликованные значения и ограничить доступ к внешним портам и файловым томам. Пароль Grafana поддерживает переменную окружения, но её значение по умолчанию предназначено только для локальной среды.</w:t>
      </w:r>
    </w:p>
    <w:p>
      <w:pPr>
        <w:pStyle w:val="Heading1"/>
      </w:pPr>
      <w:r>
        <w:t>4. Наблюдаемость: Prometheus и Grafana</w:t>
      </w:r>
    </w:p>
    <w:p>
      <w:pPr>
        <w:pStyle w:val="Heading2"/>
      </w:pPr>
      <w:r>
        <w:t>4.1. Схема сбора</w:t>
      </w:r>
    </w:p>
    <w:p>
      <w:r>
        <w:t>В каждый из пяти Java сервисов добавлены spring-boot-starter-actuator и micrometer-registry-prometheus. Настройка management.server.port выделяет порт 9090, а management.endpoints.web.exposure.include открывает health, info и prometheus. Общий тег application содержит имя сервиса. Метрики HTTP запросов собираются Micrometer автоматически; для http.server.requests включены гистограммы, нужные для вычисления 95-го процентиля времени ответа.</w:t>
      </w:r>
    </w:p>
    <w:p>
      <w:r>
        <w:t>Prometheus обращается по адресу /actuator/prometheus к пяти целям внутри сети dev каждые 15 секунд. Сама система Prometheus доступна на хосте по localhost:9090, а порты метрик Java сервисов наружу не опубликованы. Grafana на localhost:3000 при старте читает файлы provisioning: источник Prometheus и дашборд RAG system. Это означает, что схема мониторинга воспроизводится из файлов проекта, без ручной настройки панелей после каждого запуска.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cantSplit/>
        </w:trPr>
        <w:tc>
          <w:tcPr>
            <w:tcW w:type="dxa" w:w="4677"/>
            <w:shd w:fill="E9EEF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b/>
                <w:sz w:val="19"/>
              </w:rPr>
              <w:t>Показатель</w:t>
            </w:r>
          </w:p>
        </w:tc>
        <w:tc>
          <w:tcPr>
            <w:tcW w:type="dxa" w:w="4677"/>
            <w:shd w:fill="E9EEF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b/>
                <w:sz w:val="19"/>
              </w:rPr>
              <w:t>Источник и смысл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Доступность сервисов</w:t>
            </w:r>
          </w:p>
        </w:tc>
        <w:tc>
          <w:tcPr>
            <w:tcW w:type="dxa" w:w="680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up: 1, если Prometheus успешно опросил сервис; 0 при недоступности.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Интенсивность и ошибки HTTP</w:t>
            </w:r>
          </w:p>
        </w:tc>
        <w:tc>
          <w:tcPr>
            <w:tcW w:type="dxa" w:w="680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rate(http_server_requests_seconds_count) и запросы со статусом 5xx.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Время ответа p95</w:t>
            </w:r>
          </w:p>
        </w:tc>
        <w:tc>
          <w:tcPr>
            <w:tcW w:type="dxa" w:w="680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histogram_quantile по гистограмме http_server_requests_seconds_bucket за 5 минут.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Обработка документов</w:t>
            </w:r>
          </w:p>
        </w:tc>
        <w:tc>
          <w:tcPr>
            <w:tcW w:type="dxa" w:w="680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rag_documents_processed_total, rag_documents_failed_total; отдельный счётчик удаления.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Генерация LLM</w:t>
            </w:r>
          </w:p>
        </w:tc>
        <w:tc>
          <w:tcPr>
            <w:tcW w:type="dxa" w:w="680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Таймер rag_llm_generation_seconds и счётчик rag_llm_generation_errors_total.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Память JVM</w:t>
            </w:r>
          </w:p>
        </w:tc>
        <w:tc>
          <w:tcPr>
            <w:tcW w:type="dxa" w:w="680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jvm_memory_used_bytes с area=heap, сгруппированная по приложению.</w:t>
            </w:r>
          </w:p>
        </w:tc>
      </w:tr>
    </w:tbl>
    <w:p>
      <w:pPr>
        <w:spacing w:after="0"/>
      </w:pPr>
    </w:p>
    <w:p>
      <w:r>
        <w:t>Счётчики предметной области добавлены непосредственно в ConvertMicroservice. Таймер генерации начинается при подписке на поток ответа и останавливается при завершении, отмене или ошибке. Благодаря этому панель показывает не только техническую доступность JVM, но и длительность пользовательского сценария. Ошибки генерации записываются отдельным счётчиком. Dashboard содержит девять панелей: состояние целей, накопленные и интервальные показатели обработки, HTTP нагрузку, 5xx, p95, среднее время генерации и память JVM.</w:t>
      </w:r>
    </w:p>
    <w:p>
      <w:pPr>
        <w:pStyle w:val="Heading2"/>
      </w:pPr>
      <w:r>
        <w:t>4.2. Практическое использование метрик</w:t>
      </w:r>
    </w:p>
    <w:p>
      <w:r>
        <w:t>После запуска сначала проверяют Prometheus Targets: все пять целей должны получить состояние UP. Затем в Grafana открывают RAG system. Рост HTTP 5xx указывает на ошибочные ответы сервиса; повышение p95 — на замедление запросов даже при неизменной средней нагрузке. Сочетание роста ошибок обработки документов и отсутствия новых успешно обработанных файлов помогает локализовать проблему в конвейере индексации. Высокое время генерации при нормальном HTTP времени других сервисов указывает на контур Ollama/LLM, а рост heap позволяет оценить давление на память Java.</w:t>
      </w:r>
    </w:p>
    <w:p>
      <w:r>
        <w:t>Метрики дают оперативный обзор, но в текущей конфигурации нет правил оповещения, трассировки запросов и формально заданных SLO. Значения некоторых счётчиков растут только при соответствующих событиях; отсутствие временного ряда после старта ещё не доказывает неисправность. Для продуктивной среды дополнительно нужны алерты и соглашение о порогах.</w:t>
      </w:r>
    </w:p>
    <w:p>
      <w:pPr>
        <w:pStyle w:val="Heading1"/>
      </w:pPr>
      <w:r>
        <w:t>5. Проверка результата</w:t>
      </w:r>
    </w:p>
    <w:p>
      <w:r>
        <w:t>Проверка выполнялась на уровне сборки и отдельных компонентов. Пять Java сервисов успешно упакованы Maven командой package с пропуском тестов; это подтверждает компиляцию и формирование JAR, но не прохождение тестового набора. Синтаксическая проверка docker compose config --quiet завершилась успешно. Отдельно запущенный DiscoveryServer вернул HTTP 200 на /actuator/prometheus с метриками JVM. Образ ConvertMicroservice был собран, внутри него успешно импортированы CPU версии torch и torchvision, а классификатор изображений обработал тестовый PNG.</w:t>
      </w:r>
    </w:p>
    <w:p>
      <w:r>
        <w:t>Эти проверки подтверждают работоспособность цепочки сборки и точки экспорта метрик в испытанных условиях. Полный запуск всех сервисов Compose, прохождение пользовательского сценария через веб-интерфейс, нагрузочные показатели и стабильность длительной эксплуатации в рамках этой проверки не подтверждены. Для окончательной приёмки необходимы подготовленные модели, доступное хранилище документов и тестовые данные, после чего следует проверить в Prometheus все пять целей и выполнить сквозной сценарий от изменения документа до ответа LLM.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rPr>
          <w:cantSplit/>
        </w:trPr>
        <w:tc>
          <w:tcPr>
            <w:tcW w:type="dxa" w:w="4677"/>
            <w:shd w:fill="E9EEF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b/>
                <w:sz w:val="19"/>
              </w:rPr>
              <w:t>Проверка</w:t>
            </w:r>
          </w:p>
        </w:tc>
        <w:tc>
          <w:tcPr>
            <w:tcW w:type="dxa" w:w="4677"/>
            <w:shd w:fill="E9EEF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b/>
                <w:sz w:val="19"/>
              </w:rPr>
              <w:t>Фактический результат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Maven package для пяти сервисов</w:t>
            </w:r>
          </w:p>
        </w:tc>
        <w:tc>
          <w:tcPr>
            <w:tcW w:type="dxa" w:w="59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Успешная упаковка; тесты были пропущены.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docker compose config --quiet</w:t>
            </w:r>
          </w:p>
        </w:tc>
        <w:tc>
          <w:tcPr>
            <w:tcW w:type="dxa" w:w="59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Конфигурация Compose проходит синтаксическую проверку.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DiscoveryServer /actuator/prometheus</w:t>
            </w:r>
          </w:p>
        </w:tc>
        <w:tc>
          <w:tcPr>
            <w:tcW w:type="dxa" w:w="59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HTTP 200, присутствуют JVM метрики.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Сборка ConvertMicroservice</w:t>
            </w:r>
          </w:p>
        </w:tc>
        <w:tc>
          <w:tcPr>
            <w:tcW w:type="dxa" w:w="59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Образ собран; Python зависимости импортируются, классификатор запускается.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Полный сценарий в Compose</w:t>
            </w:r>
          </w:p>
        </w:tc>
        <w:tc>
          <w:tcPr>
            <w:tcW w:type="dxa" w:w="5953"/>
            <w:vAlign w:val="center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line="264" w:lineRule="auto"/>
              <w:ind w:firstLine="0"/>
            </w:pPr>
            <w:r>
              <w:rPr>
                <w:sz w:val="19"/>
              </w:rPr>
              <w:t>Не подтверждён выполненными проверками.</w:t>
            </w:r>
          </w:p>
        </w:tc>
      </w:tr>
    </w:tbl>
    <w:p>
      <w:pPr>
        <w:spacing w:after="0"/>
      </w:pPr>
    </w:p>
    <w:p>
      <w:pPr>
        <w:pStyle w:val="Heading1"/>
      </w:pPr>
      <w:r>
        <w:t>6. Оценка реализации и дальнейшее развитие</w:t>
      </w:r>
    </w:p>
    <w:p>
      <w:r>
        <w:t>Основные архитектурные элементы согласованной RAG системы присутствуют: индексация документации, поиск и генерация ответа, веб-интерфейс, LDAP аутентификация, Gateway, Eureka, контейнеризация и слой мониторинга. Особенно значим для предмета работы переход от набора программ к описанной конфигурации сервисов: Dockerfile задают воспроизводимую сборку Java приложений, Compose фиксирует связи инфраструктуры, а Prometheus и Grafana делают состояние системы измеримым.</w:t>
      </w:r>
    </w:p>
    <w:p>
      <w:r>
        <w:t>Часть заявленного плана реализована не полностью. В Compose отсутствуют healthcheck; конфигурация CI не обнаружена; подготовка моделей и отдельных образов всё ещё зависит от окружения; секреты и привязка к файловой системе хоста требуют переработки. Это ограничивает переносимость и безопасность развёртывания. Следующие шаги: добавить проверки готовности и зависимость по состоянию сервисов, вынести секреты из репозитория и образов, закрепить версии инфраструктурных образов, разделить тома БД и Ollama, автоматизировать сборку и тесты в CI, добавить сквозной тест RAG и оповещения по ключевым метрикам.</w:t>
      </w:r>
    </w:p>
    <w:p>
      <w:r>
        <w:t>Таким образом, поставленная цель по дополнению проекта наблюдаемостью достигнута на уровне конфигурации и проверенных компонентов. Полученная система демонстрирует применение практик управления конфигурацией к микросервисному RAG приложению; перечисленные ограничения показывают, какие изменения нужны для повторяемого развёртывания в других окружениях и промышленной эксплуатации.</w:t>
      </w:r>
    </w:p>
    <w:p>
      <w:pPr>
        <w:pStyle w:val="Heading1"/>
      </w:pPr>
      <w:r>
        <w:t>Список использованных материалов</w:t>
      </w:r>
    </w:p>
    <w:p>
      <w:pPr>
        <w:ind w:firstLine="0"/>
      </w:pPr>
      <w:r>
        <w:t>[1] Вайцеховский Е. Т. Согласование темы работы по дисциплине «Управление конфигурацией программного обеспечения». Санкт-Петербург, 2026.</w:t>
      </w:r>
    </w:p>
    <w:p>
      <w:pPr>
        <w:ind w:firstLine="0"/>
      </w:pPr>
      <w:r>
        <w:t>[2] Исходный код модулей RagUtilLib, ConvertMicroservice, BotMicroservice, MainMicroservice, ApiGateway, DiscoveryServer в репозитории проекта.</w:t>
      </w:r>
    </w:p>
    <w:p>
      <w:pPr>
        <w:ind w:firstLine="0"/>
      </w:pPr>
      <w:r>
        <w:t>[3] docker-compose.yaml и Dockerfile сервисов в репозитории проекта.</w:t>
      </w:r>
    </w:p>
    <w:p>
      <w:pPr>
        <w:ind w:firstLine="0"/>
      </w:pPr>
      <w:r>
        <w:t>[4] Файлы application.yml пяти Java сервисов в репозитории проекта.</w:t>
      </w:r>
    </w:p>
    <w:p>
      <w:pPr>
        <w:ind w:firstLine="0"/>
      </w:pPr>
      <w:r>
        <w:t>[5] monitoring/prometheus.yml; monitoring/grafana/provisioning; monitoring/grafana/dashboards/rag-system.json.</w:t>
      </w:r>
    </w:p>
    <w:p>
      <w:pPr>
        <w:ind w:firstLine="0"/>
      </w:pPr>
      <w:r>
        <w:t>[6] README.md проекта, раздел «Мониторинг Prometheus и Grafana».</w:t>
      </w:r>
    </w:p>
    <w:p>
      <w:pPr>
        <w:ind w:firstLine="0"/>
      </w:pPr>
      <w:r>
        <w:t>[7] requirements.txt и ImageClassifier.py проекта.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24" w:lineRule="auto"/>
      <w:ind w:firstLine="709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4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264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курсовой работе — RAG система для обработки файловой документации</dc:title>
  <dc:subject>Управление конфигурацией программного обеспечения</dc:subject>
  <dc:creator>Вайцеховский Е. Т.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