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Caso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: </w:t>
        <w:tab/>
        <w:t xml:space="preserve">Gerar Cobrança via Pix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Atores</w:t>
      </w:r>
      <w:r w:rsidDel="00000000" w:rsidR="00000000" w:rsidRPr="00000000">
        <w:rPr>
          <w:rtl w:val="0"/>
        </w:rPr>
        <w:t xml:space="preserve">: </w:t>
        <w:tab/>
        <w:t xml:space="preserve">Mecânico / Proprietário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</w:t>
        <w:tab/>
        <w:t xml:space="preserve">Gerar a cobrança do atendimento e disponibilizar o Pix para o cliente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</w:t>
        <w:tab/>
        <w:t xml:space="preserve">Após a conclusão da OS, o usuário deseja gerar uma cobrança com o valor total do serviço, exibindo a chave Pix e um QR Code para pagamento e compartilhamento com o cliente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Pré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condição</w:t>
      </w:r>
      <w:r w:rsidDel="00000000" w:rsidR="00000000" w:rsidRPr="00000000">
        <w:rPr>
          <w:rtl w:val="0"/>
        </w:rPr>
        <w:t xml:space="preserve">: A OS deve estar concluída e com valor total calculado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Pós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condição</w:t>
      </w:r>
      <w:r w:rsidDel="00000000" w:rsidR="00000000" w:rsidRPr="00000000">
        <w:rPr>
          <w:rtl w:val="0"/>
        </w:rPr>
        <w:t xml:space="preserve">: Cobrança Pix gerada e pronta para envio ao cliente por WhatsApp ou e-mail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:</w:t>
        <w:tab/>
        <w:tab/>
        <w:t xml:space="preserve">Primário e essencial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Referência</w:t>
      </w:r>
      <w:r w:rsidDel="00000000" w:rsidR="00000000" w:rsidRPr="00000000">
        <w:rPr>
          <w:rtl w:val="0"/>
        </w:rPr>
        <w:t xml:space="preserve">: RF004, RF007, RNF001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Típica Sequência de Eventos</w:t>
      </w:r>
    </w:p>
    <w:tbl>
      <w:tblPr>
        <w:tblStyle w:val="Table1"/>
        <w:tblW w:w="9638.0" w:type="dxa"/>
        <w:jc w:val="left"/>
        <w:tblInd w:w="-54.0" w:type="dxa"/>
        <w:tblBorders>
          <w:top w:color="1c052e" w:space="0" w:sz="4" w:val="single"/>
          <w:left w:color="1c052e" w:space="0" w:sz="4" w:val="single"/>
          <w:bottom w:color="1c052e" w:space="0" w:sz="4" w:val="single"/>
          <w:insideH w:color="1c052e" w:space="0" w:sz="4" w:val="single"/>
        </w:tblBorders>
        <w:tblLayout w:type="fixed"/>
        <w:tblLook w:val="0000"/>
      </w:tblPr>
      <w:tblGrid>
        <w:gridCol w:w="4818"/>
        <w:gridCol w:w="4820"/>
        <w:tblGridChange w:id="0">
          <w:tblGrid>
            <w:gridCol w:w="4818"/>
            <w:gridCol w:w="4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052e" w:space="0" w:sz="4" w:val="single"/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Ação do Ator</w:t>
            </w:r>
          </w:p>
        </w:tc>
        <w:tc>
          <w:tcPr>
            <w:tcBorders>
              <w:top w:color="1c052e" w:space="0" w:sz="4" w:val="single"/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O caso de uso começa quando o mecânico deseja cobrar o cliente por um serviço 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O ator acessa a ordem de serviço finalizada e seleciona a opção de gerar cobrança Pix</w:t>
            </w:r>
          </w:p>
        </w:tc>
        <w:tc>
          <w:tcPr>
            <w:tcBorders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3. O sistema recupera o valor total da OS e a chave Pix cadastrada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O ator confirma os dados da cobrança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tl w:val="0"/>
              </w:rPr>
              <w:t xml:space="preserve">O sistema gera o código Pix e o QR Code de pagamento conforme o padrão Pix definido no documento de 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1c052e" w:space="0" w:sz="4" w:val="single"/>
              <w:bottom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 O ator copia o código ou compartilha a imagem do QR Code com 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1c052e" w:space="0" w:sz="4" w:val="single"/>
              <w:bottom w:color="1c052e" w:space="0" w:sz="4" w:val="single"/>
              <w:right w:color="1c052e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7. O sistema mantém o registro da cobrança associado à OS para consulta posterior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Sequências Alternativas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Linha 2: a OS ainda não foi concluída. O sistema impede a geração da cobrança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Linha 6: a chave Pix não está configurada. O sistema informa que é necessário cadastrá-la antes de gerar a cobrança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Linha 5: ocorre falha ao gerar o QR Code. O sistema apresenta erro e permite nova tentativa, sem perder os dados da OS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