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309645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ASIGNATURA: ESTADÍSTICA BÁSICA</w:t>
      </w:r>
    </w:p>
    <w:p w14:paraId="3701B30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73DE4D7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0FFDFF4E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380AC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</w:p>
    <w:p w14:paraId="67028461" w14:textId="77777777" w:rsidR="008B6E73" w:rsidRDefault="008B6E73" w:rsidP="008B6E73">
      <w:pPr>
        <w:spacing w:after="0" w:line="360" w:lineRule="auto"/>
        <w:jc w:val="center"/>
      </w:pPr>
      <w:r>
        <w:rPr>
          <w:rFonts w:ascii="Arial" w:hAnsi="Arial" w:cs="Arial"/>
          <w:sz w:val="28"/>
          <w:szCs w:val="28"/>
        </w:rPr>
        <w:t>NA-NEBA-2301-B1-012</w:t>
      </w:r>
    </w:p>
    <w:p w14:paraId="669D6264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4786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1C2510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ASESOR(A): ANA DELIA MONROY GARCÍA.</w:t>
      </w:r>
    </w:p>
    <w:p w14:paraId="6AC6DD9B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DB6A4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5913848" w14:textId="77777777" w:rsidR="00D05049" w:rsidRPr="00D05049" w:rsidRDefault="00D05049" w:rsidP="00D05049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hAnsi="Arial" w:cs="Arial"/>
          <w:b/>
          <w:bCs/>
          <w:sz w:val="28"/>
          <w:szCs w:val="28"/>
        </w:rPr>
      </w:pPr>
      <w:r w:rsidRPr="00D05049">
        <w:rPr>
          <w:rFonts w:ascii="Arial" w:hAnsi="Arial" w:cs="Arial"/>
          <w:b/>
          <w:bCs/>
          <w:sz w:val="28"/>
          <w:szCs w:val="28"/>
        </w:rPr>
        <w:t>Evidencia de aprendizaje. Análisis de datos</w:t>
      </w:r>
    </w:p>
    <w:p w14:paraId="0D52B344" w14:textId="77777777" w:rsidR="008B6E73" w:rsidRDefault="008B6E73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B2E6F8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D7EAE5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41DB1911" w14:textId="348BDDA3" w:rsidR="00D04DA7" w:rsidRDefault="00D05049" w:rsidP="00D0504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06 de marzo de 2023</w:t>
      </w:r>
    </w:p>
    <w:p w14:paraId="74C27D78" w14:textId="77777777" w:rsidR="00D05049" w:rsidRPr="00D05049" w:rsidRDefault="00D05049" w:rsidP="00D0504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INTRODUCCION</w:t>
      </w:r>
    </w:p>
    <w:p w14:paraId="4F4FD1DF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lastRenderedPageBreak/>
        <w:t>En estadística, el análisis y la visualización de datos son herramientas fundamentales para comprender la información que se recopila.</w:t>
      </w:r>
    </w:p>
    <w:p w14:paraId="443324AA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Las gráficas son una forma común de representar visualmente los datos, y permiten al usuario ver patrones, tendencias y relaciones entre los datos de manera más clara y sencilla.</w:t>
      </w:r>
    </w:p>
    <w:p w14:paraId="791260A0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En este sentido, se han presentado diversas técnicas de representación gráfica, como el histograma, la gráfica de barras, la gráfica de pastel y la ojiva, cada una con sus propias características y aplicaciones.</w:t>
      </w:r>
    </w:p>
    <w:p w14:paraId="5111D648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El histograma es una gráfica que muestra la distribución de frecuencias de una variable continua y permite ver la forma general de la distribución. La gráfica de barras se utiliza para comparar las frecuencias de diferentes categorías, y la gráfica de pastel es útil para mostrar la proporción de cada categoría.</w:t>
      </w:r>
    </w:p>
    <w:p w14:paraId="3456613F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La ojiva, por otro lado, muestra la acumulación de frecuencias a medida que se avanza por los valores ordenados de la variable, lo que permite ver la distribución acumulada de los datos.</w:t>
      </w:r>
    </w:p>
    <w:p w14:paraId="70DD8699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Cada una de estas técnicas de representación gráfica puede ser útil para comprender y analizar diferentes tipos de datos, y es importante saber cuál utilizar en función de los objetivos de análisis y el tipo de datos a analizar.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5074F236" w14:textId="77777777" w:rsidR="004552C1" w:rsidRDefault="004552C1" w:rsidP="00D04DA7">
      <w:pPr>
        <w:jc w:val="center"/>
      </w:pPr>
    </w:p>
    <w:p w14:paraId="2FC7B907" w14:textId="7453DDE8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DESARROLLO DE LA ACTIVIDAD</w:t>
      </w:r>
    </w:p>
    <w:p w14:paraId="1791B983" w14:textId="5D048816" w:rsidR="00D04DA7" w:rsidRDefault="001D1BE2" w:rsidP="001D1BE2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8C12650" wp14:editId="28E7BB2D">
            <wp:extent cx="4010025" cy="2959122"/>
            <wp:effectExtent l="0" t="0" r="0" b="0"/>
            <wp:docPr id="2" name="Imagen 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, Excel&#10;&#10;Descripción generada automáticamente"/>
                    <pic:cNvPicPr/>
                  </pic:nvPicPr>
                  <pic:blipFill rotWithShape="1">
                    <a:blip r:embed="rId7"/>
                    <a:srcRect l="25628" t="31093" r="49762" b="36607"/>
                    <a:stretch/>
                  </pic:blipFill>
                  <pic:spPr bwMode="auto">
                    <a:xfrm>
                      <a:off x="0" y="0"/>
                      <a:ext cx="4018720" cy="296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96FC1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6D136D31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43579AD6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190F8073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057ABE05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1E3E9D8F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234D6B57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7E50347B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4FE0197C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73B1E677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4FA9D3A9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7DD0E72E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40930409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43AC54AA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2FAE4606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4BB37723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57F42129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310F9BF5" w14:textId="77777777" w:rsidR="001D1BE2" w:rsidRDefault="001D1BE2" w:rsidP="001D1BE2">
      <w:pPr>
        <w:jc w:val="center"/>
        <w:rPr>
          <w:rFonts w:ascii="Arial" w:hAnsi="Arial" w:cs="Arial"/>
        </w:rPr>
      </w:pPr>
    </w:p>
    <w:p w14:paraId="11E58C90" w14:textId="497B303E" w:rsidR="001D1BE2" w:rsidRDefault="00680B61" w:rsidP="001D1BE2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3B4E9" wp14:editId="30CFBA06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353175" cy="2515870"/>
            <wp:effectExtent l="0" t="0" r="9525" b="17780"/>
            <wp:wrapNone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FB6AC02-E253-67C2-2EB6-F5754438F7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D1BE2" w:rsidRPr="001D1BE2">
        <w:rPr>
          <w:rFonts w:ascii="Arial" w:hAnsi="Arial" w:cs="Arial"/>
          <w:b/>
          <w:bCs/>
        </w:rPr>
        <w:t>HISTOGRAMA</w:t>
      </w:r>
    </w:p>
    <w:p w14:paraId="0E9500C6" w14:textId="1231BA3E" w:rsidR="00680B61" w:rsidRDefault="00680B61" w:rsidP="001D1BE2">
      <w:pPr>
        <w:jc w:val="center"/>
        <w:rPr>
          <w:rFonts w:ascii="Arial" w:hAnsi="Arial" w:cs="Arial"/>
          <w:b/>
          <w:bCs/>
        </w:rPr>
      </w:pPr>
    </w:p>
    <w:p w14:paraId="36029CB0" w14:textId="7392C22C" w:rsidR="00680B61" w:rsidRDefault="00680B61" w:rsidP="001D1BE2">
      <w:pPr>
        <w:jc w:val="center"/>
        <w:rPr>
          <w:rFonts w:ascii="Arial" w:hAnsi="Arial" w:cs="Arial"/>
          <w:b/>
          <w:bCs/>
        </w:rPr>
      </w:pPr>
    </w:p>
    <w:p w14:paraId="04DF2C0C" w14:textId="34252376" w:rsidR="00680B61" w:rsidRDefault="00680B61" w:rsidP="001D1BE2">
      <w:pPr>
        <w:jc w:val="center"/>
        <w:rPr>
          <w:rFonts w:ascii="Arial" w:hAnsi="Arial" w:cs="Arial"/>
          <w:b/>
          <w:bCs/>
        </w:rPr>
      </w:pPr>
    </w:p>
    <w:p w14:paraId="7E90CE79" w14:textId="144E03A1" w:rsidR="00680B61" w:rsidRDefault="00680B61" w:rsidP="001D1BE2">
      <w:pPr>
        <w:jc w:val="center"/>
        <w:rPr>
          <w:rFonts w:ascii="Arial" w:hAnsi="Arial" w:cs="Arial"/>
          <w:b/>
          <w:bCs/>
        </w:rPr>
      </w:pPr>
    </w:p>
    <w:p w14:paraId="0FEDE652" w14:textId="34A99F6C" w:rsidR="00680B61" w:rsidRDefault="00680B61" w:rsidP="001D1BE2">
      <w:pPr>
        <w:jc w:val="center"/>
        <w:rPr>
          <w:rFonts w:ascii="Arial" w:hAnsi="Arial" w:cs="Arial"/>
          <w:b/>
          <w:bCs/>
        </w:rPr>
      </w:pPr>
    </w:p>
    <w:p w14:paraId="6A55BE96" w14:textId="767D5DDA" w:rsidR="00680B61" w:rsidRDefault="00680B61" w:rsidP="001D1BE2">
      <w:pPr>
        <w:jc w:val="center"/>
        <w:rPr>
          <w:rFonts w:ascii="Arial" w:hAnsi="Arial" w:cs="Arial"/>
          <w:b/>
          <w:bCs/>
        </w:rPr>
      </w:pPr>
    </w:p>
    <w:p w14:paraId="42865A79" w14:textId="3749AB8D" w:rsidR="00680B61" w:rsidRDefault="00680B61" w:rsidP="001D1BE2">
      <w:pPr>
        <w:jc w:val="center"/>
        <w:rPr>
          <w:rFonts w:ascii="Arial" w:hAnsi="Arial" w:cs="Arial"/>
          <w:b/>
          <w:bCs/>
        </w:rPr>
      </w:pPr>
    </w:p>
    <w:p w14:paraId="204700AA" w14:textId="5EF13553" w:rsidR="00680B61" w:rsidRDefault="00680B61" w:rsidP="001D1BE2">
      <w:pPr>
        <w:jc w:val="center"/>
        <w:rPr>
          <w:rFonts w:ascii="Arial" w:hAnsi="Arial" w:cs="Arial"/>
          <w:b/>
          <w:bCs/>
        </w:rPr>
      </w:pPr>
    </w:p>
    <w:p w14:paraId="1C5BF2C4" w14:textId="4DE3D590" w:rsidR="001D1BE2" w:rsidRDefault="001D1BE2" w:rsidP="00680B61">
      <w:pPr>
        <w:jc w:val="center"/>
        <w:rPr>
          <w:rFonts w:ascii="Arial" w:hAnsi="Arial" w:cs="Arial"/>
          <w:b/>
          <w:bCs/>
        </w:rPr>
      </w:pPr>
    </w:p>
    <w:p w14:paraId="3884DDB0" w14:textId="77777777" w:rsidR="00680B61" w:rsidRDefault="00680B61" w:rsidP="00680B61">
      <w:pPr>
        <w:jc w:val="center"/>
        <w:rPr>
          <w:rFonts w:ascii="Arial" w:hAnsi="Arial" w:cs="Arial"/>
        </w:rPr>
      </w:pPr>
    </w:p>
    <w:p w14:paraId="19C914B2" w14:textId="77777777" w:rsidR="005D1AE4" w:rsidRPr="005D1AE4" w:rsidRDefault="001D1BE2" w:rsidP="005D1AE4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5D1AE4">
        <w:rPr>
          <w:rFonts w:ascii="Arial" w:eastAsia="Times New Roman" w:hAnsi="Arial" w:cs="Arial"/>
          <w:lang w:eastAsia="es-MX"/>
        </w:rPr>
        <w:t xml:space="preserve">Interpretación: </w:t>
      </w:r>
      <w:r w:rsidR="005D1AE4" w:rsidRPr="005D1AE4">
        <w:rPr>
          <w:rFonts w:ascii="Arial" w:eastAsia="Times New Roman" w:hAnsi="Arial" w:cs="Arial"/>
          <w:lang w:eastAsia="es-MX"/>
        </w:rPr>
        <w:t>El histograma muestra la distribución de la frecuencia de los índices de masa corporal (IMC) en una población o muestra. El IMC es un indicador de la relación entre la altura y el peso de una persona y se utiliza comúnmente para determinar si alguien tiene un peso saludable.</w:t>
      </w:r>
    </w:p>
    <w:p w14:paraId="522BB872" w14:textId="77777777" w:rsidR="005D1AE4" w:rsidRPr="005D1AE4" w:rsidRDefault="005D1AE4" w:rsidP="005D1AE4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5D1AE4">
        <w:rPr>
          <w:rFonts w:ascii="Arial" w:eastAsia="Times New Roman" w:hAnsi="Arial" w:cs="Arial"/>
          <w:lang w:eastAsia="es-MX"/>
        </w:rPr>
        <w:t>En este histograma, el eje X representa el rango de IMC y se divide en intervalos o rangos que se muestran en la segunda columna de la tabla. El eje Y representa la frecuencia o número de personas en cada intervalo.</w:t>
      </w:r>
    </w:p>
    <w:p w14:paraId="1EBA7B52" w14:textId="724FC7B3" w:rsidR="005D1AE4" w:rsidRPr="005D1AE4" w:rsidRDefault="005D1AE4" w:rsidP="005D1AE4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</w:p>
    <w:p w14:paraId="3F36CD3B" w14:textId="77777777" w:rsidR="005D1AE4" w:rsidRDefault="005D1AE4" w:rsidP="00680B61">
      <w:pPr>
        <w:jc w:val="center"/>
        <w:rPr>
          <w:rFonts w:ascii="Arial" w:hAnsi="Arial" w:cs="Arial"/>
          <w:b/>
          <w:bCs/>
        </w:rPr>
      </w:pPr>
    </w:p>
    <w:p w14:paraId="359B85B9" w14:textId="77777777" w:rsidR="005D1AE4" w:rsidRDefault="005D1AE4" w:rsidP="00680B61">
      <w:pPr>
        <w:jc w:val="center"/>
        <w:rPr>
          <w:rFonts w:ascii="Arial" w:hAnsi="Arial" w:cs="Arial"/>
          <w:b/>
          <w:bCs/>
        </w:rPr>
      </w:pPr>
    </w:p>
    <w:p w14:paraId="1F3E50D0" w14:textId="77777777" w:rsidR="005D1AE4" w:rsidRDefault="005D1AE4" w:rsidP="00680B61">
      <w:pPr>
        <w:jc w:val="center"/>
        <w:rPr>
          <w:rFonts w:ascii="Arial" w:hAnsi="Arial" w:cs="Arial"/>
          <w:b/>
          <w:bCs/>
        </w:rPr>
      </w:pPr>
    </w:p>
    <w:p w14:paraId="39457F94" w14:textId="77777777" w:rsidR="005D1AE4" w:rsidRDefault="005D1AE4" w:rsidP="00680B61">
      <w:pPr>
        <w:jc w:val="center"/>
        <w:rPr>
          <w:rFonts w:ascii="Arial" w:hAnsi="Arial" w:cs="Arial"/>
          <w:b/>
          <w:bCs/>
        </w:rPr>
      </w:pPr>
    </w:p>
    <w:p w14:paraId="2E3EB062" w14:textId="77777777" w:rsidR="005D1AE4" w:rsidRDefault="005D1AE4" w:rsidP="00680B61">
      <w:pPr>
        <w:jc w:val="center"/>
        <w:rPr>
          <w:rFonts w:ascii="Arial" w:hAnsi="Arial" w:cs="Arial"/>
          <w:b/>
          <w:bCs/>
        </w:rPr>
      </w:pPr>
    </w:p>
    <w:p w14:paraId="6F18D2B0" w14:textId="77777777" w:rsidR="005D1AE4" w:rsidRDefault="005D1AE4" w:rsidP="00680B61">
      <w:pPr>
        <w:jc w:val="center"/>
        <w:rPr>
          <w:rFonts w:ascii="Arial" w:hAnsi="Arial" w:cs="Arial"/>
          <w:b/>
          <w:bCs/>
        </w:rPr>
      </w:pPr>
    </w:p>
    <w:p w14:paraId="0C71B577" w14:textId="77777777" w:rsidR="005D1AE4" w:rsidRDefault="005D1AE4" w:rsidP="00680B61">
      <w:pPr>
        <w:jc w:val="center"/>
        <w:rPr>
          <w:rFonts w:ascii="Arial" w:hAnsi="Arial" w:cs="Arial"/>
          <w:b/>
          <w:bCs/>
        </w:rPr>
      </w:pPr>
    </w:p>
    <w:p w14:paraId="42823D77" w14:textId="77777777" w:rsidR="005D1AE4" w:rsidRDefault="005D1AE4" w:rsidP="00680B61">
      <w:pPr>
        <w:jc w:val="center"/>
        <w:rPr>
          <w:rFonts w:ascii="Arial" w:hAnsi="Arial" w:cs="Arial"/>
          <w:b/>
          <w:bCs/>
        </w:rPr>
      </w:pPr>
    </w:p>
    <w:p w14:paraId="66F296BB" w14:textId="77777777" w:rsidR="005D1AE4" w:rsidRDefault="005D1AE4" w:rsidP="00680B61">
      <w:pPr>
        <w:jc w:val="center"/>
        <w:rPr>
          <w:rFonts w:ascii="Arial" w:hAnsi="Arial" w:cs="Arial"/>
          <w:b/>
          <w:bCs/>
        </w:rPr>
      </w:pPr>
    </w:p>
    <w:p w14:paraId="6563D7C9" w14:textId="77777777" w:rsidR="005D1AE4" w:rsidRDefault="005D1AE4" w:rsidP="00680B61">
      <w:pPr>
        <w:jc w:val="center"/>
        <w:rPr>
          <w:rFonts w:ascii="Arial" w:hAnsi="Arial" w:cs="Arial"/>
          <w:b/>
          <w:bCs/>
        </w:rPr>
      </w:pPr>
    </w:p>
    <w:p w14:paraId="154E29DF" w14:textId="77777777" w:rsidR="005D1AE4" w:rsidRDefault="005D1AE4" w:rsidP="00680B61">
      <w:pPr>
        <w:jc w:val="center"/>
        <w:rPr>
          <w:rFonts w:ascii="Arial" w:hAnsi="Arial" w:cs="Arial"/>
          <w:b/>
          <w:bCs/>
        </w:rPr>
      </w:pPr>
    </w:p>
    <w:p w14:paraId="07229DD5" w14:textId="77777777" w:rsidR="005D1AE4" w:rsidRDefault="005D1AE4" w:rsidP="005D1AE4">
      <w:pPr>
        <w:rPr>
          <w:rFonts w:ascii="Arial" w:hAnsi="Arial" w:cs="Arial"/>
          <w:b/>
          <w:bCs/>
        </w:rPr>
      </w:pPr>
    </w:p>
    <w:p w14:paraId="4B1FC29E" w14:textId="7D1AC5C9" w:rsidR="00680B61" w:rsidRDefault="00680B61" w:rsidP="00680B61">
      <w:pPr>
        <w:jc w:val="center"/>
        <w:rPr>
          <w:rFonts w:ascii="Arial" w:hAnsi="Arial" w:cs="Arial"/>
          <w:b/>
          <w:bCs/>
        </w:rPr>
      </w:pPr>
      <w:r w:rsidRPr="00680B61">
        <w:rPr>
          <w:rFonts w:ascii="Arial" w:hAnsi="Arial" w:cs="Arial"/>
          <w:b/>
          <w:bCs/>
        </w:rPr>
        <w:t>GRÁFICA DE BARRAS</w:t>
      </w:r>
    </w:p>
    <w:p w14:paraId="3BB0F9A1" w14:textId="0224D6E7" w:rsidR="00680B61" w:rsidRPr="00680B61" w:rsidRDefault="005D1AE4" w:rsidP="00680B61">
      <w:pPr>
        <w:jc w:val="center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5A551982" wp14:editId="23EF7690">
            <wp:extent cx="5400676" cy="5043488"/>
            <wp:effectExtent l="0" t="0" r="9525" b="50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E6040395-4D84-8DCD-2D4E-8E3F4884C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868C76" w14:textId="57A9AC87" w:rsidR="00D04DA7" w:rsidRPr="005D1AE4" w:rsidRDefault="00680B61" w:rsidP="005D1AE4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5D1AE4">
        <w:rPr>
          <w:rFonts w:ascii="Arial" w:eastAsia="Times New Roman" w:hAnsi="Arial" w:cs="Arial"/>
          <w:lang w:eastAsia="es-MX"/>
        </w:rPr>
        <w:t>Interpretación</w:t>
      </w:r>
      <w:r w:rsidRPr="005D1AE4">
        <w:rPr>
          <w:rFonts w:ascii="Arial" w:eastAsia="Times New Roman" w:hAnsi="Arial" w:cs="Arial"/>
          <w:lang w:eastAsia="es-MX"/>
        </w:rPr>
        <w:t xml:space="preserve">: </w:t>
      </w:r>
      <w:r w:rsidRPr="005D1AE4">
        <w:rPr>
          <w:rFonts w:ascii="Arial" w:eastAsia="Times New Roman" w:hAnsi="Arial" w:cs="Arial"/>
          <w:lang w:eastAsia="es-MX"/>
        </w:rPr>
        <w:t>La gráfica de barras muestra la misma información que el histograma, pero presenta los datos de manera diferente. En una gráfica de barras, el eje X representa las categorías o rangos de IMC, mientras que el eje Y representa la frecuencia o número de personas en cada categoría.</w:t>
      </w:r>
    </w:p>
    <w:p w14:paraId="60C77BB5" w14:textId="7EAFC290" w:rsidR="00D04DA7" w:rsidRPr="005D1AE4" w:rsidRDefault="00680B61" w:rsidP="005D1AE4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5D1AE4">
        <w:rPr>
          <w:rFonts w:ascii="Arial" w:eastAsia="Times New Roman" w:hAnsi="Arial" w:cs="Arial"/>
          <w:lang w:eastAsia="es-MX"/>
        </w:rPr>
        <w:t>En la gráfica, se pueden comparar fácilmente las frecuencias de las diferentes categorías de IMC, lo que permite visualizar la distribución de los datos de manera clara y fácil de entender. También se pueden identificar rápidamente las categorías con menos o más frecuencia, lo que puede ser útil para realizar comparaciones o analizar patrones en los datos.</w:t>
      </w: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E274243" w14:textId="77777777" w:rsidR="005D1AE4" w:rsidRPr="00C569EB" w:rsidRDefault="005D1AE4" w:rsidP="00D04DA7">
      <w:pPr>
        <w:rPr>
          <w:rFonts w:ascii="Arial" w:hAnsi="Arial" w:cs="Arial"/>
        </w:rPr>
      </w:pPr>
    </w:p>
    <w:p w14:paraId="1E9438CC" w14:textId="6E168993" w:rsidR="00D04DA7" w:rsidRDefault="005D1AE4" w:rsidP="005D1AE4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F83064" wp14:editId="339971D2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6867525" cy="5033010"/>
            <wp:effectExtent l="0" t="0" r="9525" b="15240"/>
            <wp:wrapNone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E6040395-4D84-8DCD-2D4E-8E3F4884C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Pr="005D1AE4">
        <w:rPr>
          <w:rFonts w:ascii="Arial" w:hAnsi="Arial" w:cs="Arial"/>
          <w:b/>
          <w:bCs/>
        </w:rPr>
        <w:t>POLÍGONO DE FRECUENCIAS</w:t>
      </w:r>
    </w:p>
    <w:p w14:paraId="3122AB77" w14:textId="31463972" w:rsidR="005D1AE4" w:rsidRPr="005D1AE4" w:rsidRDefault="005D1AE4" w:rsidP="005D1AE4">
      <w:pPr>
        <w:jc w:val="center"/>
        <w:rPr>
          <w:rFonts w:ascii="Arial" w:hAnsi="Arial" w:cs="Arial"/>
          <w:b/>
          <w:bCs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56EA10F2" w:rsidR="00D04DA7" w:rsidRDefault="00D04DA7" w:rsidP="00D04DA7">
      <w:pPr>
        <w:rPr>
          <w:rFonts w:ascii="Arial" w:hAnsi="Arial" w:cs="Arial"/>
        </w:rPr>
      </w:pPr>
    </w:p>
    <w:p w14:paraId="78D54BD4" w14:textId="77777777" w:rsidR="005D1AE4" w:rsidRPr="005D1AE4" w:rsidRDefault="005D1AE4" w:rsidP="005D1AE4">
      <w:pPr>
        <w:spacing w:line="276" w:lineRule="auto"/>
        <w:jc w:val="both"/>
        <w:rPr>
          <w:rFonts w:ascii="Arial" w:hAnsi="Arial" w:cs="Arial"/>
        </w:rPr>
      </w:pPr>
      <w:r w:rsidRPr="005D1AE4">
        <w:rPr>
          <w:rFonts w:ascii="Arial" w:hAnsi="Arial" w:cs="Arial"/>
        </w:rPr>
        <w:t xml:space="preserve">Interpretación: </w:t>
      </w:r>
      <w:r w:rsidRPr="005D1AE4">
        <w:rPr>
          <w:rFonts w:ascii="Arial" w:hAnsi="Arial" w:cs="Arial"/>
        </w:rPr>
        <w:t>Un polígono de frecuencias es un gráfico que se utiliza para mostrar la distribución de frecuencia de una variable. En este gráfico, el eje X representa los valores de la variable y el eje Y representa la frecuencia o número de veces que aparece cada valor.</w:t>
      </w:r>
    </w:p>
    <w:p w14:paraId="687417DF" w14:textId="4D8312B7" w:rsidR="005D1AE4" w:rsidRPr="005D1AE4" w:rsidRDefault="005D1AE4" w:rsidP="005D1AE4">
      <w:pPr>
        <w:spacing w:line="276" w:lineRule="auto"/>
        <w:jc w:val="both"/>
        <w:rPr>
          <w:rFonts w:ascii="Arial" w:hAnsi="Arial" w:cs="Arial"/>
        </w:rPr>
      </w:pPr>
      <w:r w:rsidRPr="005D1AE4">
        <w:rPr>
          <w:rFonts w:ascii="Arial" w:hAnsi="Arial" w:cs="Arial"/>
        </w:rPr>
        <w:t>En la base de la línea est</w:t>
      </w:r>
      <w:r>
        <w:rPr>
          <w:rFonts w:ascii="Arial" w:hAnsi="Arial" w:cs="Arial"/>
        </w:rPr>
        <w:t xml:space="preserve">án </w:t>
      </w:r>
      <w:r w:rsidRPr="005D1AE4">
        <w:rPr>
          <w:rFonts w:ascii="Arial" w:hAnsi="Arial" w:cs="Arial"/>
        </w:rPr>
        <w:t>los valores de IMC de cada categoría, y en la parte superior est</w:t>
      </w:r>
      <w:r w:rsidR="009D42A1">
        <w:rPr>
          <w:rFonts w:ascii="Arial" w:hAnsi="Arial" w:cs="Arial"/>
        </w:rPr>
        <w:t>án</w:t>
      </w:r>
      <w:r w:rsidRPr="005D1AE4">
        <w:rPr>
          <w:rFonts w:ascii="Arial" w:hAnsi="Arial" w:cs="Arial"/>
        </w:rPr>
        <w:t xml:space="preserve"> las frecuencias correspondientes.</w:t>
      </w:r>
    </w:p>
    <w:p w14:paraId="48C4A76B" w14:textId="77777777" w:rsidR="005D1AE4" w:rsidRPr="005D1AE4" w:rsidRDefault="005D1AE4" w:rsidP="005D1AE4">
      <w:pPr>
        <w:spacing w:line="276" w:lineRule="auto"/>
        <w:jc w:val="both"/>
        <w:rPr>
          <w:rFonts w:ascii="Arial" w:hAnsi="Arial" w:cs="Arial"/>
        </w:rPr>
      </w:pPr>
      <w:r w:rsidRPr="005D1AE4">
        <w:rPr>
          <w:rFonts w:ascii="Arial" w:hAnsi="Arial" w:cs="Arial"/>
        </w:rPr>
        <w:t>Los puntos en el polígono de frecuencias se sitúan en el centro de cada intervalo de categorías, y se unen con líneas rectas para crear un polígono.</w:t>
      </w:r>
    </w:p>
    <w:p w14:paraId="3B5792CE" w14:textId="6524052E" w:rsidR="005D1AE4" w:rsidRPr="005D1AE4" w:rsidRDefault="005D1AE4" w:rsidP="005D1AE4">
      <w:pPr>
        <w:spacing w:line="276" w:lineRule="auto"/>
        <w:jc w:val="both"/>
        <w:rPr>
          <w:rFonts w:ascii="Arial" w:hAnsi="Arial" w:cs="Arial"/>
        </w:rPr>
      </w:pPr>
      <w:r w:rsidRPr="005D1AE4">
        <w:rPr>
          <w:rFonts w:ascii="Arial" w:hAnsi="Arial" w:cs="Arial"/>
        </w:rPr>
        <w:t>La forma del polígono indica patrones en la distribución de los datos, como la presencia de modas, simetría o sesgos en los datos.</w:t>
      </w:r>
    </w:p>
    <w:p w14:paraId="29A7C7FF" w14:textId="3AEDDBEF" w:rsidR="005D1AE4" w:rsidRPr="005D1AE4" w:rsidRDefault="005D1AE4" w:rsidP="005D1AE4">
      <w:pPr>
        <w:spacing w:line="276" w:lineRule="auto"/>
        <w:jc w:val="both"/>
        <w:rPr>
          <w:rFonts w:ascii="Arial" w:hAnsi="Arial" w:cs="Arial"/>
        </w:rPr>
      </w:pPr>
      <w:r w:rsidRPr="005D1AE4">
        <w:rPr>
          <w:rFonts w:ascii="Arial" w:hAnsi="Arial" w:cs="Arial"/>
        </w:rPr>
        <w:t xml:space="preserve">En </w:t>
      </w:r>
      <w:r w:rsidR="009D42A1">
        <w:rPr>
          <w:rFonts w:ascii="Arial" w:hAnsi="Arial" w:cs="Arial"/>
        </w:rPr>
        <w:t xml:space="preserve">este caso, </w:t>
      </w:r>
      <w:r w:rsidRPr="005D1AE4">
        <w:rPr>
          <w:rFonts w:ascii="Arial" w:hAnsi="Arial" w:cs="Arial"/>
        </w:rPr>
        <w:t xml:space="preserve">el IMC, el polígono de frecuencias mostraría una línea que conecta los puntos que representan las frecuencias de cada categoría de IMC. Como en la mayoría de los </w:t>
      </w:r>
      <w:r w:rsidRPr="005D1AE4">
        <w:rPr>
          <w:rFonts w:ascii="Arial" w:hAnsi="Arial" w:cs="Arial"/>
        </w:rPr>
        <w:lastRenderedPageBreak/>
        <w:t>casos la frecuencia es creciente, la línea tendría una forma ascendente y suave, lo que indicaría una distribución más o menos normal de los datos.</w:t>
      </w:r>
      <w:r w:rsidR="00807699" w:rsidRPr="00807699">
        <w:rPr>
          <w:noProof/>
        </w:rPr>
        <w:t xml:space="preserve"> </w:t>
      </w:r>
    </w:p>
    <w:p w14:paraId="3D0C93A7" w14:textId="5C762C64" w:rsidR="00807699" w:rsidRPr="00807699" w:rsidRDefault="00807699" w:rsidP="00807699">
      <w:pPr>
        <w:jc w:val="center"/>
        <w:rPr>
          <w:rFonts w:ascii="Arial" w:hAnsi="Arial" w:cs="Arial"/>
          <w:b/>
          <w:bCs/>
        </w:rPr>
      </w:pPr>
      <w:r w:rsidRPr="00807699">
        <w:rPr>
          <w:rFonts w:ascii="Arial" w:hAnsi="Arial" w:cs="Arial"/>
          <w:b/>
          <w:bCs/>
        </w:rPr>
        <w:t>GRÁFICA CIRCULAR O DE PASTEL</w:t>
      </w:r>
    </w:p>
    <w:p w14:paraId="36E2F541" w14:textId="4EC3E2C9" w:rsidR="005D1AE4" w:rsidRDefault="00807699" w:rsidP="0080769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E01255" wp14:editId="6E2C347F">
            <wp:extent cx="4569077" cy="2743200"/>
            <wp:effectExtent l="0" t="0" r="3175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1F33CA2-1AD8-309B-5FE8-1299E85155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E781C8" w14:textId="526AAB60" w:rsidR="005D1AE4" w:rsidRPr="00881286" w:rsidRDefault="005D1AE4" w:rsidP="00881286">
      <w:pPr>
        <w:spacing w:line="276" w:lineRule="auto"/>
        <w:jc w:val="both"/>
        <w:rPr>
          <w:rFonts w:ascii="Arial" w:hAnsi="Arial" w:cs="Arial"/>
        </w:rPr>
      </w:pPr>
    </w:p>
    <w:p w14:paraId="3E35E2EC" w14:textId="0AA98928" w:rsidR="00881286" w:rsidRPr="00881286" w:rsidRDefault="00881286" w:rsidP="00881286">
      <w:pPr>
        <w:spacing w:line="276" w:lineRule="auto"/>
        <w:jc w:val="both"/>
        <w:rPr>
          <w:rFonts w:ascii="Arial" w:hAnsi="Arial" w:cs="Arial"/>
        </w:rPr>
      </w:pPr>
      <w:r w:rsidRPr="00881286">
        <w:rPr>
          <w:rFonts w:ascii="Arial" w:hAnsi="Arial" w:cs="Arial"/>
        </w:rPr>
        <w:t xml:space="preserve">Interpretación: </w:t>
      </w:r>
      <w:r w:rsidRPr="00881286">
        <w:rPr>
          <w:rFonts w:ascii="Arial" w:hAnsi="Arial" w:cs="Arial"/>
        </w:rPr>
        <w:t>Una gráfica de pastel, también conocida como gráfica circular o diagrama de sectores, es un tipo de gráfico que se utiliza para mostrar la proporción de cada categoría en un conjunto de datos.</w:t>
      </w:r>
      <w:r w:rsidR="005366E2">
        <w:rPr>
          <w:rFonts w:ascii="Arial" w:hAnsi="Arial" w:cs="Arial"/>
        </w:rPr>
        <w:t xml:space="preserve"> </w:t>
      </w:r>
      <w:r w:rsidRPr="00881286">
        <w:rPr>
          <w:rFonts w:ascii="Arial" w:hAnsi="Arial" w:cs="Arial"/>
        </w:rPr>
        <w:t>En la gráfica de pastel, se divide un círculo en secciones, cada una de las cuales representa una categoría de datos. El tamaño de cada sección corresponde a la proporción de esa categoría en el conjunto de datos totales.</w:t>
      </w:r>
    </w:p>
    <w:p w14:paraId="344F4E81" w14:textId="54FBB720" w:rsidR="00881286" w:rsidRPr="00881286" w:rsidRDefault="00881286" w:rsidP="00881286">
      <w:pPr>
        <w:spacing w:line="276" w:lineRule="auto"/>
        <w:jc w:val="both"/>
        <w:rPr>
          <w:rFonts w:ascii="Arial" w:hAnsi="Arial" w:cs="Arial"/>
        </w:rPr>
      </w:pPr>
      <w:r w:rsidRPr="00881286">
        <w:rPr>
          <w:rFonts w:ascii="Arial" w:hAnsi="Arial" w:cs="Arial"/>
        </w:rPr>
        <w:t xml:space="preserve">En </w:t>
      </w:r>
      <w:r w:rsidR="005366E2">
        <w:rPr>
          <w:rFonts w:ascii="Arial" w:hAnsi="Arial" w:cs="Arial"/>
        </w:rPr>
        <w:t>este</w:t>
      </w:r>
      <w:r w:rsidRPr="00881286">
        <w:rPr>
          <w:rFonts w:ascii="Arial" w:hAnsi="Arial" w:cs="Arial"/>
        </w:rPr>
        <w:t xml:space="preserve"> caso </w:t>
      </w:r>
      <w:r w:rsidR="005366E2">
        <w:rPr>
          <w:rFonts w:ascii="Arial" w:hAnsi="Arial" w:cs="Arial"/>
        </w:rPr>
        <w:t xml:space="preserve">es sobre el </w:t>
      </w:r>
      <w:r w:rsidRPr="00881286">
        <w:rPr>
          <w:rFonts w:ascii="Arial" w:hAnsi="Arial" w:cs="Arial"/>
        </w:rPr>
        <w:t xml:space="preserve">índice de masa corporal (IMC), </w:t>
      </w:r>
      <w:r w:rsidR="005366E2">
        <w:rPr>
          <w:rFonts w:ascii="Arial" w:hAnsi="Arial" w:cs="Arial"/>
        </w:rPr>
        <w:t>muestra una</w:t>
      </w:r>
      <w:r w:rsidRPr="00881286">
        <w:rPr>
          <w:rFonts w:ascii="Arial" w:hAnsi="Arial" w:cs="Arial"/>
        </w:rPr>
        <w:t xml:space="preserve"> sección para cada categoría de IMC, y el tamaño de cada sección </w:t>
      </w:r>
      <w:r w:rsidR="005366E2">
        <w:rPr>
          <w:rFonts w:ascii="Arial" w:hAnsi="Arial" w:cs="Arial"/>
        </w:rPr>
        <w:t>es</w:t>
      </w:r>
      <w:r w:rsidRPr="00881286">
        <w:rPr>
          <w:rFonts w:ascii="Arial" w:hAnsi="Arial" w:cs="Arial"/>
        </w:rPr>
        <w:t xml:space="preserve"> proporcional a la frecuencia de personas en esa categoría.</w:t>
      </w:r>
    </w:p>
    <w:p w14:paraId="7E3A2BF2" w14:textId="57AD1A9E" w:rsidR="00881286" w:rsidRDefault="00881286" w:rsidP="00D04DA7">
      <w:pPr>
        <w:rPr>
          <w:rFonts w:ascii="Arial" w:hAnsi="Arial" w:cs="Arial"/>
        </w:rPr>
      </w:pPr>
    </w:p>
    <w:p w14:paraId="26E310FE" w14:textId="700FA1D5" w:rsidR="005366E2" w:rsidRDefault="005366E2" w:rsidP="00D04DA7">
      <w:pPr>
        <w:rPr>
          <w:rFonts w:ascii="Arial" w:hAnsi="Arial" w:cs="Arial"/>
        </w:rPr>
      </w:pPr>
    </w:p>
    <w:p w14:paraId="22C0661C" w14:textId="4A1A1238" w:rsidR="005366E2" w:rsidRDefault="005366E2" w:rsidP="00D04DA7">
      <w:pPr>
        <w:rPr>
          <w:rFonts w:ascii="Arial" w:hAnsi="Arial" w:cs="Arial"/>
        </w:rPr>
      </w:pPr>
    </w:p>
    <w:p w14:paraId="6539C436" w14:textId="74292B99" w:rsidR="005366E2" w:rsidRDefault="005366E2" w:rsidP="00D04DA7">
      <w:pPr>
        <w:rPr>
          <w:rFonts w:ascii="Arial" w:hAnsi="Arial" w:cs="Arial"/>
        </w:rPr>
      </w:pPr>
    </w:p>
    <w:p w14:paraId="6A7A8092" w14:textId="78A341C5" w:rsidR="005366E2" w:rsidRDefault="005366E2" w:rsidP="00D04DA7">
      <w:pPr>
        <w:rPr>
          <w:rFonts w:ascii="Arial" w:hAnsi="Arial" w:cs="Arial"/>
        </w:rPr>
      </w:pPr>
    </w:p>
    <w:p w14:paraId="2A1F0F84" w14:textId="04A2F2A1" w:rsidR="005366E2" w:rsidRDefault="005366E2" w:rsidP="00D04DA7">
      <w:pPr>
        <w:rPr>
          <w:rFonts w:ascii="Arial" w:hAnsi="Arial" w:cs="Arial"/>
        </w:rPr>
      </w:pPr>
    </w:p>
    <w:p w14:paraId="7A42BC63" w14:textId="6D42211E" w:rsidR="005366E2" w:rsidRDefault="005366E2" w:rsidP="00D04DA7">
      <w:pPr>
        <w:rPr>
          <w:rFonts w:ascii="Arial" w:hAnsi="Arial" w:cs="Arial"/>
        </w:rPr>
      </w:pPr>
    </w:p>
    <w:p w14:paraId="1CFD5F2E" w14:textId="3F39351D" w:rsidR="005366E2" w:rsidRDefault="005366E2" w:rsidP="00D04DA7">
      <w:pPr>
        <w:rPr>
          <w:rFonts w:ascii="Arial" w:hAnsi="Arial" w:cs="Arial"/>
        </w:rPr>
      </w:pPr>
    </w:p>
    <w:p w14:paraId="4D3CA9B2" w14:textId="1576E89F" w:rsidR="005366E2" w:rsidRPr="005366E2" w:rsidRDefault="005366E2" w:rsidP="005366E2">
      <w:pPr>
        <w:jc w:val="center"/>
        <w:rPr>
          <w:rFonts w:ascii="Arial" w:hAnsi="Arial" w:cs="Arial"/>
          <w:b/>
          <w:bCs/>
        </w:rPr>
      </w:pPr>
      <w:r w:rsidRPr="005366E2">
        <w:rPr>
          <w:rFonts w:ascii="Arial" w:hAnsi="Arial" w:cs="Arial"/>
          <w:b/>
          <w:bCs/>
        </w:rPr>
        <w:t>GRÁFICA OJIVA</w:t>
      </w:r>
    </w:p>
    <w:p w14:paraId="2FA5A5EE" w14:textId="32442AC5" w:rsidR="005D1AE4" w:rsidRDefault="005366E2" w:rsidP="005366E2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0AC02D" wp14:editId="6D920B4F">
            <wp:extent cx="4562475" cy="2743200"/>
            <wp:effectExtent l="0" t="0" r="9525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E662B6F-51E2-03B7-3A28-281A31066B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2A6178E" w14:textId="77777777" w:rsidR="004552C1" w:rsidRPr="004552C1" w:rsidRDefault="004552C1" w:rsidP="004552C1">
      <w:pPr>
        <w:spacing w:line="276" w:lineRule="auto"/>
        <w:jc w:val="both"/>
        <w:rPr>
          <w:rFonts w:ascii="Arial" w:hAnsi="Arial" w:cs="Arial"/>
        </w:rPr>
      </w:pPr>
      <w:r w:rsidRPr="004552C1">
        <w:rPr>
          <w:rFonts w:ascii="Arial" w:hAnsi="Arial" w:cs="Arial"/>
        </w:rPr>
        <w:t xml:space="preserve">Interpretación: </w:t>
      </w:r>
      <w:r w:rsidRPr="004552C1">
        <w:rPr>
          <w:rFonts w:ascii="Arial" w:hAnsi="Arial" w:cs="Arial"/>
        </w:rPr>
        <w:t>La ojiva es una gráfica que muestra la acumulación de frecuencias de un conjunto de datos ordenados. La ojiva también se conoce como polígono de frecuencias acumuladas.</w:t>
      </w:r>
    </w:p>
    <w:p w14:paraId="3624F83E" w14:textId="77777777" w:rsidR="004552C1" w:rsidRPr="004552C1" w:rsidRDefault="004552C1" w:rsidP="004552C1">
      <w:pPr>
        <w:spacing w:line="276" w:lineRule="auto"/>
        <w:jc w:val="both"/>
        <w:rPr>
          <w:rFonts w:ascii="Arial" w:hAnsi="Arial" w:cs="Arial"/>
        </w:rPr>
      </w:pPr>
      <w:r w:rsidRPr="004552C1">
        <w:rPr>
          <w:rFonts w:ascii="Arial" w:hAnsi="Arial" w:cs="Arial"/>
        </w:rPr>
        <w:t>En la ojiva, el eje X representa los valores ordenados de la variable, y el eje Y representa las frecuencias acumuladas. Cada punto en la línea representa la frecuencia acumulada hasta ese valor de la variable.</w:t>
      </w:r>
    </w:p>
    <w:p w14:paraId="43542A9B" w14:textId="77777777" w:rsidR="004552C1" w:rsidRPr="004552C1" w:rsidRDefault="004552C1" w:rsidP="004552C1">
      <w:pPr>
        <w:spacing w:line="276" w:lineRule="auto"/>
        <w:jc w:val="both"/>
        <w:rPr>
          <w:rFonts w:ascii="Arial" w:hAnsi="Arial" w:cs="Arial"/>
        </w:rPr>
      </w:pPr>
      <w:r w:rsidRPr="004552C1">
        <w:rPr>
          <w:rFonts w:ascii="Arial" w:hAnsi="Arial" w:cs="Arial"/>
        </w:rPr>
        <w:t>La ojiva es útil para visualizar la distribución acumulada de los datos y determinar los percentiles o los valores correspondientes a ciertas frecuencias acumuladas.</w:t>
      </w:r>
    </w:p>
    <w:p w14:paraId="0EF34C1C" w14:textId="19708F13" w:rsidR="004552C1" w:rsidRPr="004552C1" w:rsidRDefault="004552C1" w:rsidP="004552C1">
      <w:pPr>
        <w:spacing w:line="276" w:lineRule="auto"/>
        <w:jc w:val="both"/>
        <w:rPr>
          <w:rFonts w:ascii="Arial" w:hAnsi="Arial" w:cs="Arial"/>
        </w:rPr>
      </w:pPr>
      <w:r w:rsidRPr="004552C1">
        <w:rPr>
          <w:rFonts w:ascii="Arial" w:hAnsi="Arial" w:cs="Arial"/>
        </w:rPr>
        <w:t>En e</w:t>
      </w:r>
      <w:r>
        <w:rPr>
          <w:rFonts w:ascii="Arial" w:hAnsi="Arial" w:cs="Arial"/>
        </w:rPr>
        <w:t>ste</w:t>
      </w:r>
      <w:r w:rsidRPr="004552C1">
        <w:rPr>
          <w:rFonts w:ascii="Arial" w:hAnsi="Arial" w:cs="Arial"/>
        </w:rPr>
        <w:t xml:space="preserve"> caso del índice de masa corporal (IMC), </w:t>
      </w:r>
      <w:r>
        <w:rPr>
          <w:rFonts w:ascii="Arial" w:hAnsi="Arial" w:cs="Arial"/>
        </w:rPr>
        <w:t xml:space="preserve">la </w:t>
      </w:r>
      <w:r w:rsidRPr="004552C1">
        <w:rPr>
          <w:rFonts w:ascii="Arial" w:hAnsi="Arial" w:cs="Arial"/>
        </w:rPr>
        <w:t xml:space="preserve">ojiva </w:t>
      </w:r>
      <w:r>
        <w:rPr>
          <w:rFonts w:ascii="Arial" w:hAnsi="Arial" w:cs="Arial"/>
        </w:rPr>
        <w:t xml:space="preserve">muestra </w:t>
      </w:r>
      <w:r w:rsidRPr="004552C1">
        <w:rPr>
          <w:rFonts w:ascii="Arial" w:hAnsi="Arial" w:cs="Arial"/>
        </w:rPr>
        <w:t xml:space="preserve">cómo se acumulan las frecuencias a medida que se avanzan por los valores de IMC. </w:t>
      </w:r>
      <w:r>
        <w:rPr>
          <w:rFonts w:ascii="Arial" w:hAnsi="Arial" w:cs="Arial"/>
        </w:rPr>
        <w:t>Por ejemplo, l</w:t>
      </w:r>
      <w:r w:rsidRPr="004552C1">
        <w:rPr>
          <w:rFonts w:ascii="Arial" w:hAnsi="Arial" w:cs="Arial"/>
        </w:rPr>
        <w:t xml:space="preserve">a ojiva </w:t>
      </w:r>
      <w:r>
        <w:rPr>
          <w:rFonts w:ascii="Arial" w:hAnsi="Arial" w:cs="Arial"/>
        </w:rPr>
        <w:t xml:space="preserve">muestra </w:t>
      </w:r>
      <w:r w:rsidRPr="004552C1">
        <w:rPr>
          <w:rFonts w:ascii="Arial" w:hAnsi="Arial" w:cs="Arial"/>
        </w:rPr>
        <w:t xml:space="preserve">el número acumulado de personas con un IMC menor o igual a 18.49, lo que </w:t>
      </w:r>
      <w:r>
        <w:rPr>
          <w:rFonts w:ascii="Arial" w:hAnsi="Arial" w:cs="Arial"/>
        </w:rPr>
        <w:t>permite</w:t>
      </w:r>
      <w:r w:rsidRPr="004552C1">
        <w:rPr>
          <w:rFonts w:ascii="Arial" w:hAnsi="Arial" w:cs="Arial"/>
        </w:rPr>
        <w:t xml:space="preserve"> determinar el porcentaje de personas que se encuentran en esta categoría en relación con el total de la población.</w:t>
      </w:r>
    </w:p>
    <w:p w14:paraId="7C29A752" w14:textId="26BB92CF" w:rsidR="004552C1" w:rsidRDefault="004552C1" w:rsidP="005366E2">
      <w:pPr>
        <w:jc w:val="center"/>
        <w:rPr>
          <w:rFonts w:ascii="Arial" w:hAnsi="Arial" w:cs="Arial"/>
        </w:rPr>
      </w:pPr>
    </w:p>
    <w:p w14:paraId="45C96274" w14:textId="77777777" w:rsidR="004552C1" w:rsidRDefault="004552C1" w:rsidP="005366E2">
      <w:pPr>
        <w:jc w:val="center"/>
        <w:rPr>
          <w:rFonts w:ascii="Arial" w:hAnsi="Arial" w:cs="Arial"/>
        </w:rPr>
      </w:pPr>
    </w:p>
    <w:p w14:paraId="7C5B51B9" w14:textId="565B1327" w:rsidR="005D1AE4" w:rsidRDefault="005D1AE4" w:rsidP="00D04DA7">
      <w:pPr>
        <w:rPr>
          <w:rFonts w:ascii="Arial" w:hAnsi="Arial" w:cs="Arial"/>
        </w:rPr>
      </w:pPr>
    </w:p>
    <w:p w14:paraId="7EFAA897" w14:textId="7122987F" w:rsidR="005D1AE4" w:rsidRDefault="005D1AE4" w:rsidP="00D04DA7">
      <w:pPr>
        <w:rPr>
          <w:rFonts w:ascii="Arial" w:hAnsi="Arial" w:cs="Arial"/>
        </w:rPr>
      </w:pPr>
    </w:p>
    <w:p w14:paraId="574132DA" w14:textId="0E2D91F7" w:rsidR="005D1AE4" w:rsidRDefault="005D1AE4" w:rsidP="00D04DA7">
      <w:pPr>
        <w:rPr>
          <w:rFonts w:ascii="Arial" w:hAnsi="Arial" w:cs="Arial"/>
        </w:rPr>
      </w:pPr>
    </w:p>
    <w:p w14:paraId="05455DD7" w14:textId="77777777" w:rsidR="004552C1" w:rsidRDefault="004552C1" w:rsidP="00D04DA7">
      <w:pPr>
        <w:rPr>
          <w:rFonts w:ascii="Arial" w:hAnsi="Arial" w:cs="Arial"/>
        </w:rPr>
      </w:pPr>
    </w:p>
    <w:p w14:paraId="2EF9B7BC" w14:textId="77777777" w:rsidR="005D1AE4" w:rsidRDefault="005D1AE4" w:rsidP="00D04DA7">
      <w:pPr>
        <w:rPr>
          <w:rFonts w:ascii="Arial" w:hAnsi="Arial" w:cs="Arial"/>
        </w:rPr>
      </w:pPr>
    </w:p>
    <w:p w14:paraId="0F798D17" w14:textId="77777777" w:rsidR="004339A9" w:rsidRPr="00C569EB" w:rsidRDefault="004339A9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CONCLUSIONES</w:t>
      </w:r>
    </w:p>
    <w:p w14:paraId="6071B2F8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lastRenderedPageBreak/>
        <w:t>En conclusión, las técnicas de representación gráfica son herramientas esenciales para analizar y comprender los datos.</w:t>
      </w:r>
    </w:p>
    <w:p w14:paraId="04EBC4F1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Las gráficas permiten visualizar los datos de manera clara y sencilla, lo que facilita la identificación de patrones, tendencias y relaciones entre las variables.</w:t>
      </w:r>
    </w:p>
    <w:p w14:paraId="63EEF3CB" w14:textId="77777777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Cada técnica de representación gráfica tiene sus propias características y aplicaciones, por lo que es importante saber cuál utilizar según los objetivos de análisis y el tipo de datos que se están analizando.</w:t>
      </w:r>
    </w:p>
    <w:p w14:paraId="610B8CF5" w14:textId="232304F1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Por lo tanto, es importante que los profesionales de cualquier campo que manejen </w:t>
      </w:r>
      <w:r w:rsidRPr="004552C1">
        <w:rPr>
          <w:rFonts w:ascii="Arial" w:eastAsia="Times New Roman" w:hAnsi="Arial" w:cs="Arial"/>
          <w:lang w:eastAsia="es-MX"/>
        </w:rPr>
        <w:t>datos</w:t>
      </w:r>
      <w:r w:rsidRPr="004552C1">
        <w:rPr>
          <w:rFonts w:ascii="Arial" w:eastAsia="Times New Roman" w:hAnsi="Arial" w:cs="Arial"/>
          <w:lang w:eastAsia="es-MX"/>
        </w:rPr>
        <w:t xml:space="preserve"> comprendan las técnicas de representación gráfica disponibles y las utilicen para analizar y comunicar la información de manera más efectiva.</w:t>
      </w:r>
    </w:p>
    <w:p w14:paraId="02763F1B" w14:textId="77777777" w:rsidR="00D04DA7" w:rsidRPr="004552C1" w:rsidRDefault="00D04DA7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</w:p>
    <w:p w14:paraId="0D5FB146" w14:textId="77777777" w:rsidR="00D04DA7" w:rsidRPr="004552C1" w:rsidRDefault="00D04DA7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</w:p>
    <w:p w14:paraId="2B208255" w14:textId="77777777" w:rsidR="00D04DA7" w:rsidRPr="004552C1" w:rsidRDefault="00D04DA7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1181524B" w:rsidR="00D04DA7" w:rsidRDefault="00D04DA7" w:rsidP="004552C1">
      <w:pPr>
        <w:rPr>
          <w:rFonts w:ascii="Arial" w:hAnsi="Arial" w:cs="Arial"/>
          <w:b/>
          <w:bCs/>
          <w:sz w:val="24"/>
          <w:szCs w:val="24"/>
        </w:rPr>
      </w:pPr>
    </w:p>
    <w:p w14:paraId="293EB853" w14:textId="77777777" w:rsidR="004552C1" w:rsidRPr="00C569EB" w:rsidRDefault="004552C1" w:rsidP="004552C1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66322104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67FD9CE5" w14:textId="2EB7AA9D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lastRenderedPageBreak/>
        <w:t xml:space="preserve">Básica, E. (s/f). Guillermo Ayala Universidad de Valencia. Www.uv.es. Recuperado el 31 de enero de 2023, de </w:t>
      </w:r>
      <w:hyperlink r:id="rId13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https://www.uv.es/ayala/docencia/nmr/nmr13.pdf</w:t>
        </w:r>
      </w:hyperlink>
    </w:p>
    <w:p w14:paraId="49357505" w14:textId="38CE9381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 </w:t>
      </w:r>
    </w:p>
    <w:p w14:paraId="1933C01E" w14:textId="7CBC6D3B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(S/f). Up.ac.pa:8080. Recuperado el 31 de enero de 2023, de </w:t>
      </w:r>
      <w:hyperlink r:id="rId14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http://uprid2.up.ac.pa:8080/xmlui/bitstream/handle/123456789/1570/Fundamentos%20B%C3%A1sicos%20de%20Estad%C3%ADsticaLibro.pdf?sequence=1&amp;isAllowed=y</w:t>
        </w:r>
      </w:hyperlink>
    </w:p>
    <w:p w14:paraId="3767DD45" w14:textId="4C0C916C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 </w:t>
      </w:r>
    </w:p>
    <w:p w14:paraId="302B4C2C" w14:textId="3A5B08F6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(S/f-b). 93.18.15:8080. Recuperado el 31 de enero de 2023, de </w:t>
      </w:r>
      <w:hyperlink r:id="rId15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http://142.93.18.15:8080/jspui/bitstream/123456789/511/1/libro.pdf</w:t>
        </w:r>
      </w:hyperlink>
    </w:p>
    <w:p w14:paraId="5F61C67F" w14:textId="42F445EC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 </w:t>
      </w:r>
    </w:p>
    <w:p w14:paraId="41A61017" w14:textId="1126A89E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Arcadia, E. [@EdgarArcadia]. (2016, febrero 11). Como hacer un histograma en Excel. </w:t>
      </w:r>
      <w:proofErr w:type="spellStart"/>
      <w:r w:rsidRPr="004552C1">
        <w:rPr>
          <w:rFonts w:ascii="Arial" w:eastAsia="Times New Roman" w:hAnsi="Arial" w:cs="Arial"/>
          <w:lang w:eastAsia="es-MX"/>
        </w:rPr>
        <w:t>Youtube</w:t>
      </w:r>
      <w:proofErr w:type="spellEnd"/>
      <w:r w:rsidRPr="004552C1">
        <w:rPr>
          <w:rFonts w:ascii="Arial" w:eastAsia="Times New Roman" w:hAnsi="Arial" w:cs="Arial"/>
          <w:lang w:eastAsia="es-MX"/>
        </w:rPr>
        <w:t xml:space="preserve">. </w:t>
      </w:r>
      <w:hyperlink r:id="rId16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https://www.youtube.com/watch?v=yZ2K8FZrM0A</w:t>
        </w:r>
      </w:hyperlink>
    </w:p>
    <w:p w14:paraId="567DF591" w14:textId="64F90E4A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 </w:t>
      </w:r>
    </w:p>
    <w:p w14:paraId="2E192AE3" w14:textId="07359C6D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Universidad Pontificia Comillas [@VideosUpComillas]. (2019, septiembre 2). Excel 3: Gráfico de Barras. </w:t>
      </w:r>
      <w:proofErr w:type="spellStart"/>
      <w:r w:rsidRPr="004552C1">
        <w:rPr>
          <w:rFonts w:ascii="Arial" w:eastAsia="Times New Roman" w:hAnsi="Arial" w:cs="Arial"/>
          <w:lang w:eastAsia="es-MX"/>
        </w:rPr>
        <w:t>Youtube</w:t>
      </w:r>
      <w:proofErr w:type="spellEnd"/>
      <w:r w:rsidRPr="004552C1">
        <w:rPr>
          <w:rFonts w:ascii="Arial" w:eastAsia="Times New Roman" w:hAnsi="Arial" w:cs="Arial"/>
          <w:lang w:eastAsia="es-MX"/>
        </w:rPr>
        <w:t xml:space="preserve">. </w:t>
      </w:r>
      <w:hyperlink r:id="rId17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https://www.youtube.com/watch?v=zVqOkEebv3w</w:t>
        </w:r>
      </w:hyperlink>
    </w:p>
    <w:p w14:paraId="2EBEB380" w14:textId="77777777" w:rsidR="00D05049" w:rsidRDefault="00D05049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</w:p>
    <w:p w14:paraId="59B70E51" w14:textId="7288C0EA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proofErr w:type="spellStart"/>
      <w:r w:rsidRPr="004552C1">
        <w:rPr>
          <w:rFonts w:ascii="Arial" w:eastAsia="Times New Roman" w:hAnsi="Arial" w:cs="Arial"/>
          <w:lang w:eastAsia="es-MX"/>
        </w:rPr>
        <w:t>WissenSync</w:t>
      </w:r>
      <w:proofErr w:type="spellEnd"/>
      <w:r w:rsidRPr="004552C1">
        <w:rPr>
          <w:rFonts w:ascii="Arial" w:eastAsia="Times New Roman" w:hAnsi="Arial" w:cs="Arial"/>
          <w:lang w:eastAsia="es-MX"/>
        </w:rPr>
        <w:t xml:space="preserve"> [@WissenSync]. (2017, junio 15). Estadística | Cómo hacer un polígono de frecuencias en Excel. </w:t>
      </w:r>
      <w:proofErr w:type="spellStart"/>
      <w:r w:rsidRPr="004552C1">
        <w:rPr>
          <w:rFonts w:ascii="Arial" w:eastAsia="Times New Roman" w:hAnsi="Arial" w:cs="Arial"/>
          <w:lang w:eastAsia="es-MX"/>
        </w:rPr>
        <w:t>Youtube</w:t>
      </w:r>
      <w:proofErr w:type="spellEnd"/>
      <w:r w:rsidRPr="004552C1">
        <w:rPr>
          <w:rFonts w:ascii="Arial" w:eastAsia="Times New Roman" w:hAnsi="Arial" w:cs="Arial"/>
          <w:lang w:eastAsia="es-MX"/>
        </w:rPr>
        <w:t xml:space="preserve">. </w:t>
      </w:r>
      <w:hyperlink r:id="rId18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https://www.youtube.com/watch?v=WrGFVkoLbQY</w:t>
        </w:r>
      </w:hyperlink>
    </w:p>
    <w:p w14:paraId="470A1BE4" w14:textId="57224B7E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 </w:t>
      </w:r>
    </w:p>
    <w:p w14:paraId="5AA916C4" w14:textId="69C9F9CC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del Excel, N. [@gruponinjaespanol]. (2021, mayo 24). Como Hacer GRÁFICO CIRCULAR en Excel - Aprenda SIN COMPLICACIONES. </w:t>
      </w:r>
      <w:proofErr w:type="spellStart"/>
      <w:r w:rsidRPr="004552C1">
        <w:rPr>
          <w:rFonts w:ascii="Arial" w:eastAsia="Times New Roman" w:hAnsi="Arial" w:cs="Arial"/>
          <w:lang w:eastAsia="es-MX"/>
        </w:rPr>
        <w:t>Youtube</w:t>
      </w:r>
      <w:proofErr w:type="spellEnd"/>
      <w:r w:rsidRPr="004552C1">
        <w:rPr>
          <w:rFonts w:ascii="Arial" w:eastAsia="Times New Roman" w:hAnsi="Arial" w:cs="Arial"/>
          <w:lang w:eastAsia="es-MX"/>
        </w:rPr>
        <w:t xml:space="preserve">. </w:t>
      </w:r>
      <w:hyperlink r:id="rId19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https://www.youtube.com/watch?v=nYXqxDdcAe0</w:t>
        </w:r>
      </w:hyperlink>
    </w:p>
    <w:p w14:paraId="15FCCB5A" w14:textId="77777777" w:rsidR="00D05049" w:rsidRDefault="00D05049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</w:p>
    <w:p w14:paraId="7F7B9280" w14:textId="690FB952" w:rsidR="00D05049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 xml:space="preserve">E-TEC [@ETECNOLOGY]. (2021, septiembre 28). Diseñar un Histograma, Polígono de frecuencias y Ojiva con Excel. </w:t>
      </w:r>
      <w:proofErr w:type="spellStart"/>
      <w:r w:rsidRPr="004552C1">
        <w:rPr>
          <w:rFonts w:ascii="Arial" w:eastAsia="Times New Roman" w:hAnsi="Arial" w:cs="Arial"/>
          <w:lang w:eastAsia="es-MX"/>
        </w:rPr>
        <w:t>Youtube</w:t>
      </w:r>
      <w:proofErr w:type="spellEnd"/>
      <w:r w:rsidRPr="004552C1">
        <w:rPr>
          <w:rFonts w:ascii="Arial" w:eastAsia="Times New Roman" w:hAnsi="Arial" w:cs="Arial"/>
          <w:lang w:eastAsia="es-MX"/>
        </w:rPr>
        <w:t xml:space="preserve">. </w:t>
      </w:r>
      <w:hyperlink r:id="rId20" w:history="1">
        <w:r w:rsidR="00D05049" w:rsidRPr="00CB0355">
          <w:rPr>
            <w:rStyle w:val="Hipervnculo"/>
            <w:rFonts w:ascii="Arial" w:eastAsia="Times New Roman" w:hAnsi="Arial" w:cs="Arial"/>
            <w:lang w:eastAsia="es-MX"/>
          </w:rPr>
          <w:t>https://www.youtube.com/watch?v=oyh2NvTGi5</w:t>
        </w:r>
      </w:hyperlink>
    </w:p>
    <w:p w14:paraId="2C2980A1" w14:textId="2E293FA6" w:rsidR="004552C1" w:rsidRPr="004552C1" w:rsidRDefault="004552C1" w:rsidP="004552C1">
      <w:pPr>
        <w:spacing w:line="276" w:lineRule="auto"/>
        <w:jc w:val="both"/>
        <w:rPr>
          <w:rFonts w:ascii="Arial" w:eastAsia="Times New Roman" w:hAnsi="Arial" w:cs="Arial"/>
          <w:lang w:eastAsia="es-MX"/>
        </w:rPr>
      </w:pPr>
      <w:r w:rsidRPr="004552C1">
        <w:rPr>
          <w:rFonts w:ascii="Arial" w:eastAsia="Times New Roman" w:hAnsi="Arial" w:cs="Arial"/>
          <w:lang w:eastAsia="es-MX"/>
        </w:rPr>
        <w:t>I</w:t>
      </w:r>
    </w:p>
    <w:p w14:paraId="20968143" w14:textId="77777777" w:rsidR="003D1E2A" w:rsidRDefault="003D1E2A"/>
    <w:sectPr w:rsidR="003D1E2A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849C" w14:textId="77777777" w:rsidR="00F728FB" w:rsidRDefault="00F728FB" w:rsidP="00D04DA7">
      <w:pPr>
        <w:spacing w:after="0" w:line="240" w:lineRule="auto"/>
      </w:pPr>
      <w:r>
        <w:separator/>
      </w:r>
    </w:p>
  </w:endnote>
  <w:endnote w:type="continuationSeparator" w:id="0">
    <w:p w14:paraId="0E2C8FEB" w14:textId="77777777" w:rsidR="00F728FB" w:rsidRDefault="00F728FB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FF32" w14:textId="77777777" w:rsidR="00F728FB" w:rsidRDefault="00F728FB" w:rsidP="00D04DA7">
      <w:pPr>
        <w:spacing w:after="0" w:line="240" w:lineRule="auto"/>
      </w:pPr>
      <w:r>
        <w:separator/>
      </w:r>
    </w:p>
  </w:footnote>
  <w:footnote w:type="continuationSeparator" w:id="0">
    <w:p w14:paraId="3CB1420C" w14:textId="77777777" w:rsidR="00F728FB" w:rsidRDefault="00F728FB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D1BE2"/>
    <w:rsid w:val="003C646E"/>
    <w:rsid w:val="003D1E2A"/>
    <w:rsid w:val="004339A9"/>
    <w:rsid w:val="004552C1"/>
    <w:rsid w:val="005366E2"/>
    <w:rsid w:val="005D1AE4"/>
    <w:rsid w:val="00680B61"/>
    <w:rsid w:val="00761426"/>
    <w:rsid w:val="00776735"/>
    <w:rsid w:val="00807699"/>
    <w:rsid w:val="00881286"/>
    <w:rsid w:val="008B6E73"/>
    <w:rsid w:val="009D42A1"/>
    <w:rsid w:val="00A27F3C"/>
    <w:rsid w:val="00B2643B"/>
    <w:rsid w:val="00D04DA7"/>
    <w:rsid w:val="00D05049"/>
    <w:rsid w:val="00F7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D05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050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04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0504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uv.es/ayala/docencia/nmr/nmr13.pdf" TargetMode="External"/><Relationship Id="rId18" Type="http://schemas.openxmlformats.org/officeDocument/2006/relationships/hyperlink" Target="https://www.youtube.com/watch?v=WrGFVkoLbQY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hyperlink" Target="https://www.youtube.com/watch?v=zVqOkEebv3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Z2K8FZrM0A" TargetMode="External"/><Relationship Id="rId20" Type="http://schemas.openxmlformats.org/officeDocument/2006/relationships/hyperlink" Target="https://www.youtube.com/watch?v=oyh2NvTGi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yperlink" Target="http://142.93.18.15:8080/jspui/bitstream/123456789/511/1/libro.pdf" TargetMode="Externa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hyperlink" Target="https://www.youtube.com/watch?v=nYXqxDdcAe0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://uprid2.up.ac.pa:8080/xmlui/bitstream/handle/123456789/1570/Fundamentos%20B%C3%A1sicos%20de%20Estad%C3%ADsticaLibro.pdf?sequence=1&amp;isAllowed=y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jpeg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Libro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INDICE MASA CORPOTAL (IMC)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Hoja1!$L$14:$L$15</c:f>
              <c:strCache>
                <c:ptCount val="2"/>
                <c:pt idx="0">
                  <c:v>INDICE MASA CORPOTAL (IMC)</c:v>
                </c:pt>
                <c:pt idx="1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Hoja1!$J$16:$K$23</c:f>
              <c:multiLvlStrCache>
                <c:ptCount val="8"/>
                <c:lvl>
                  <c:pt idx="0">
                    <c:v>0 A 16</c:v>
                  </c:pt>
                  <c:pt idx="1">
                    <c:v>16.1 A 16.99</c:v>
                  </c:pt>
                  <c:pt idx="2">
                    <c:v>17 A 18.49</c:v>
                  </c:pt>
                  <c:pt idx="3">
                    <c:v>18.50 A 24.99</c:v>
                  </c:pt>
                  <c:pt idx="4">
                    <c:v>25 A 29.99</c:v>
                  </c:pt>
                  <c:pt idx="5">
                    <c:v>30 A 34.99</c:v>
                  </c:pt>
                  <c:pt idx="6">
                    <c:v>35 A 39.99</c:v>
                  </c:pt>
                  <c:pt idx="7">
                    <c:v>40 A 70</c:v>
                  </c:pt>
                </c:lvl>
                <c:lvl>
                  <c:pt idx="0">
                    <c:v>DESNUTRICION 3</c:v>
                  </c:pt>
                  <c:pt idx="1">
                    <c:v>DESNUTRICION 2</c:v>
                  </c:pt>
                  <c:pt idx="2">
                    <c:v>DESNUTRICION 1</c:v>
                  </c:pt>
                  <c:pt idx="3">
                    <c:v>NORMAL</c:v>
                  </c:pt>
                  <c:pt idx="4">
                    <c:v>SOBREPESO</c:v>
                  </c:pt>
                  <c:pt idx="5">
                    <c:v>OBESIDAD 1</c:v>
                  </c:pt>
                  <c:pt idx="6">
                    <c:v>OBESIDAD 2</c:v>
                  </c:pt>
                  <c:pt idx="7">
                    <c:v>OBESIDAD 3</c:v>
                  </c:pt>
                </c:lvl>
              </c:multiLvlStrCache>
            </c:multiLvlStrRef>
          </c:cat>
          <c:val>
            <c:numRef>
              <c:f>Hoja1!$L$16:$L$23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A5-4BA8-99CA-C146B3F2D3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59621791"/>
        <c:axId val="459623871"/>
      </c:barChart>
      <c:catAx>
        <c:axId val="45962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59623871"/>
        <c:crosses val="autoZero"/>
        <c:auto val="1"/>
        <c:lblAlgn val="ctr"/>
        <c:lblOffset val="100"/>
        <c:noMultiLvlLbl val="0"/>
      </c:catAx>
      <c:valAx>
        <c:axId val="45962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59621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INDICE MASA CORPOTAL (IMC)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Hoja1!$L$14:$L$15</c:f>
              <c:strCache>
                <c:ptCount val="2"/>
                <c:pt idx="0">
                  <c:v>INDICE MASA CORPOTAL (IMC)</c:v>
                </c:pt>
                <c:pt idx="1">
                  <c:v>FRECUENCIA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blipFill>
                <a:blip xmlns:r="http://schemas.openxmlformats.org/officeDocument/2006/relationships" r:embed="rId3"/>
                <a:tile tx="0" ty="0" sx="100000" sy="100000" flip="none" algn="tl"/>
              </a:blip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348-400B-AA5F-633821AE5471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348-400B-AA5F-633821AE5471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348-400B-AA5F-633821AE5471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0348-400B-AA5F-633821AE5471}"/>
              </c:ext>
            </c:extLst>
          </c:dPt>
          <c:dPt>
            <c:idx val="6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0348-400B-AA5F-633821AE5471}"/>
              </c:ext>
            </c:extLst>
          </c:dPt>
          <c:cat>
            <c:multiLvlStrRef>
              <c:f>Hoja1!$J$16:$K$23</c:f>
              <c:multiLvlStrCache>
                <c:ptCount val="8"/>
                <c:lvl>
                  <c:pt idx="0">
                    <c:v>0 A 16</c:v>
                  </c:pt>
                  <c:pt idx="1">
                    <c:v>16.1 A 16.99</c:v>
                  </c:pt>
                  <c:pt idx="2">
                    <c:v>17 A 18.49</c:v>
                  </c:pt>
                  <c:pt idx="3">
                    <c:v>18.50 A 24.99</c:v>
                  </c:pt>
                  <c:pt idx="4">
                    <c:v>25 A 29.99</c:v>
                  </c:pt>
                  <c:pt idx="5">
                    <c:v>30 A 34.99</c:v>
                  </c:pt>
                  <c:pt idx="6">
                    <c:v>35 A 39.99</c:v>
                  </c:pt>
                  <c:pt idx="7">
                    <c:v>40 A 70</c:v>
                  </c:pt>
                </c:lvl>
                <c:lvl>
                  <c:pt idx="0">
                    <c:v>DESNUTRICION 3</c:v>
                  </c:pt>
                  <c:pt idx="1">
                    <c:v>DESNUTRICION 2</c:v>
                  </c:pt>
                  <c:pt idx="2">
                    <c:v>DESNUTRICION 1</c:v>
                  </c:pt>
                  <c:pt idx="3">
                    <c:v>NORMAL</c:v>
                  </c:pt>
                  <c:pt idx="4">
                    <c:v>SOBREPESO</c:v>
                  </c:pt>
                  <c:pt idx="5">
                    <c:v>OBESIDAD 1</c:v>
                  </c:pt>
                  <c:pt idx="6">
                    <c:v>OBESIDAD 2</c:v>
                  </c:pt>
                  <c:pt idx="7">
                    <c:v>OBESIDAD 3</c:v>
                  </c:pt>
                </c:lvl>
              </c:multiLvlStrCache>
            </c:multiLvlStrRef>
          </c:cat>
          <c:val>
            <c:numRef>
              <c:f>Hoja1!$L$16:$L$23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348-400B-AA5F-633821AE54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5942319"/>
        <c:axId val="465943567"/>
      </c:barChart>
      <c:catAx>
        <c:axId val="4659423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5943567"/>
        <c:crosses val="autoZero"/>
        <c:auto val="1"/>
        <c:lblAlgn val="ctr"/>
        <c:lblOffset val="100"/>
        <c:noMultiLvlLbl val="0"/>
      </c:catAx>
      <c:valAx>
        <c:axId val="465943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5942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kumimoji="0" lang="en-US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INDICE MASA CORPOTAL (IMC) FRECUENCIA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4.2476438018063278E-2"/>
          <c:y val="8.6020691395407536E-2"/>
          <c:w val="0.93533216114975914"/>
          <c:h val="0.80573672613406289"/>
        </c:manualLayout>
      </c:layout>
      <c:lineChart>
        <c:grouping val="standard"/>
        <c:varyColors val="0"/>
        <c:ser>
          <c:idx val="0"/>
          <c:order val="0"/>
          <c:tx>
            <c:strRef>
              <c:f>Hoja1!$L$14:$L$15</c:f>
              <c:strCache>
                <c:ptCount val="2"/>
                <c:pt idx="0">
                  <c:v>INDICE MASA CORPOTAL (IMC)</c:v>
                </c:pt>
                <c:pt idx="1">
                  <c:v>FRECUENCIA</c:v>
                </c:pt>
              </c:strCache>
            </c:strRef>
          </c:tx>
          <c:spPr>
            <a:ln w="28575" cap="rnd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none"/>
          </c:marker>
          <c:cat>
            <c:multiLvlStrRef>
              <c:f>Hoja1!$J$16:$K$23</c:f>
              <c:multiLvlStrCache>
                <c:ptCount val="8"/>
                <c:lvl>
                  <c:pt idx="0">
                    <c:v>0 A 16</c:v>
                  </c:pt>
                  <c:pt idx="1">
                    <c:v>16.1 A 16.99</c:v>
                  </c:pt>
                  <c:pt idx="2">
                    <c:v>17 A 18.49</c:v>
                  </c:pt>
                  <c:pt idx="3">
                    <c:v>18.50 A 24.99</c:v>
                  </c:pt>
                  <c:pt idx="4">
                    <c:v>25 A 29.99</c:v>
                  </c:pt>
                  <c:pt idx="5">
                    <c:v>30 A 34.99</c:v>
                  </c:pt>
                  <c:pt idx="6">
                    <c:v>35 A 39.99</c:v>
                  </c:pt>
                  <c:pt idx="7">
                    <c:v>40 A 70</c:v>
                  </c:pt>
                </c:lvl>
                <c:lvl>
                  <c:pt idx="0">
                    <c:v>DESNUTRICION 3</c:v>
                  </c:pt>
                  <c:pt idx="1">
                    <c:v>DESNUTRICION 2</c:v>
                  </c:pt>
                  <c:pt idx="2">
                    <c:v>DESNUTRICION 1</c:v>
                  </c:pt>
                  <c:pt idx="3">
                    <c:v>NORMAL</c:v>
                  </c:pt>
                  <c:pt idx="4">
                    <c:v>SOBREPESO</c:v>
                  </c:pt>
                  <c:pt idx="5">
                    <c:v>OBESIDAD 1</c:v>
                  </c:pt>
                  <c:pt idx="6">
                    <c:v>OBESIDAD 2</c:v>
                  </c:pt>
                  <c:pt idx="7">
                    <c:v>OBESIDAD 3</c:v>
                  </c:pt>
                </c:lvl>
              </c:multiLvlStrCache>
            </c:multiLvlStrRef>
          </c:cat>
          <c:val>
            <c:numRef>
              <c:f>Hoja1!$L$16:$L$23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F7-4F2C-8DD2-A01545ABBA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382799"/>
        <c:axId val="423384047"/>
      </c:lineChart>
      <c:catAx>
        <c:axId val="42338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3384047"/>
        <c:crosses val="autoZero"/>
        <c:auto val="1"/>
        <c:lblAlgn val="ctr"/>
        <c:lblOffset val="100"/>
        <c:noMultiLvlLbl val="0"/>
      </c:catAx>
      <c:valAx>
        <c:axId val="42338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3382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INDICE MASA CORPOTAL (IMC)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Hoja1!$L$14:$L$15</c:f>
              <c:strCache>
                <c:ptCount val="2"/>
                <c:pt idx="0">
                  <c:v>INDICE MASA CORPOTAL (IMC)</c:v>
                </c:pt>
                <c:pt idx="1">
                  <c:v>FRECUENCIA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FD1-4303-8A7A-5AAB3C5C73D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FD1-4303-8A7A-5AAB3C5C73D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FD1-4303-8A7A-5AAB3C5C73D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FD1-4303-8A7A-5AAB3C5C73D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FD1-4303-8A7A-5AAB3C5C73D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6FD1-4303-8A7A-5AAB3C5C73D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6FD1-4303-8A7A-5AAB3C5C73D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6FD1-4303-8A7A-5AAB3C5C73D3}"/>
              </c:ext>
            </c:extLst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FD1-4303-8A7A-5AAB3C5C73D3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FD1-4303-8A7A-5AAB3C5C73D3}"/>
                </c:ext>
              </c:extLst>
            </c:dLbl>
            <c:dLbl>
              <c:idx val="2"/>
              <c:layout>
                <c:manualLayout>
                  <c:x val="-3.9764048625138076E-2"/>
                  <c:y val="0.18359908136482939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FD1-4303-8A7A-5AAB3C5C73D3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6FD1-4303-8A7A-5AAB3C5C73D3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Hoja1!$J$16:$J$23</c:f>
              <c:strCache>
                <c:ptCount val="8"/>
                <c:pt idx="0">
                  <c:v>DESNUTRICION 3</c:v>
                </c:pt>
                <c:pt idx="1">
                  <c:v>DESNUTRICION 2</c:v>
                </c:pt>
                <c:pt idx="2">
                  <c:v>DESNUTRICION 1</c:v>
                </c:pt>
                <c:pt idx="3">
                  <c:v>NORMAL</c:v>
                </c:pt>
                <c:pt idx="4">
                  <c:v>SOBREPESO</c:v>
                </c:pt>
                <c:pt idx="5">
                  <c:v>OBESIDAD 1</c:v>
                </c:pt>
                <c:pt idx="6">
                  <c:v>OBESIDAD 2</c:v>
                </c:pt>
                <c:pt idx="7">
                  <c:v>OBESIDAD 3</c:v>
                </c:pt>
              </c:strCache>
              <c:extLst/>
            </c:strRef>
          </c:cat>
          <c:val>
            <c:numRef>
              <c:f>Hoja1!$L$16:$L$23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FD1-4303-8A7A-5AAB3C5C73D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INDICE MASA CORPOTAL (IMC)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Hoja1!$L$14:$L$15</c:f>
              <c:strCache>
                <c:ptCount val="2"/>
                <c:pt idx="0">
                  <c:v>INDICE MASA CORPOTAL (IMC)</c:v>
                </c:pt>
                <c:pt idx="1">
                  <c:v>FRECUENCIA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Hoja1!$J$16:$K$23</c:f>
              <c:multiLvlStrCache>
                <c:ptCount val="8"/>
                <c:lvl>
                  <c:pt idx="0">
                    <c:v>0 A 16</c:v>
                  </c:pt>
                  <c:pt idx="1">
                    <c:v>16.1 A 16.99</c:v>
                  </c:pt>
                  <c:pt idx="2">
                    <c:v>17 A 18.49</c:v>
                  </c:pt>
                  <c:pt idx="3">
                    <c:v>18.50 A 24.99</c:v>
                  </c:pt>
                  <c:pt idx="4">
                    <c:v>25 A 29.99</c:v>
                  </c:pt>
                  <c:pt idx="5">
                    <c:v>30 A 34.99</c:v>
                  </c:pt>
                  <c:pt idx="6">
                    <c:v>35 A 39.99</c:v>
                  </c:pt>
                  <c:pt idx="7">
                    <c:v>40 A 70</c:v>
                  </c:pt>
                </c:lvl>
                <c:lvl>
                  <c:pt idx="0">
                    <c:v>DESNUTRICION 3</c:v>
                  </c:pt>
                  <c:pt idx="1">
                    <c:v>DESNUTRICION 2</c:v>
                  </c:pt>
                  <c:pt idx="2">
                    <c:v>DESNUTRICION 1</c:v>
                  </c:pt>
                  <c:pt idx="3">
                    <c:v>NORMAL</c:v>
                  </c:pt>
                  <c:pt idx="4">
                    <c:v>SOBREPESO</c:v>
                  </c:pt>
                  <c:pt idx="5">
                    <c:v>OBESIDAD 1</c:v>
                  </c:pt>
                  <c:pt idx="6">
                    <c:v>OBESIDAD 2</c:v>
                  </c:pt>
                  <c:pt idx="7">
                    <c:v>OBESIDAD 3</c:v>
                  </c:pt>
                </c:lvl>
              </c:multiLvlStrCache>
            </c:multiLvlStrRef>
          </c:cat>
          <c:val>
            <c:numRef>
              <c:f>Hoja1!$L$16:$L$23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34-4F58-812D-01B8F7EA0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072495"/>
        <c:axId val="425072911"/>
      </c:lineChart>
      <c:catAx>
        <c:axId val="425072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5072911"/>
        <c:crosses val="autoZero"/>
        <c:auto val="1"/>
        <c:lblAlgn val="ctr"/>
        <c:lblOffset val="100"/>
        <c:noMultiLvlLbl val="0"/>
      </c:catAx>
      <c:valAx>
        <c:axId val="425072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5072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1263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2023-03-07T03:28:00Z</dcterms:created>
  <dcterms:modified xsi:type="dcterms:W3CDTF">2023-03-07T03:28:00Z</dcterms:modified>
</cp:coreProperties>
</file>