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ASIGNATURA: ESTADÍSTICA BÁSICA</w:t>
      </w:r>
    </w:p>
    <w:p w14:paraId="3701B307" w14:textId="77777777" w:rsidR="008B6E73" w:rsidRDefault="008B6E73" w:rsidP="008B6E73">
      <w:pPr>
        <w:spacing w:after="0" w:line="360" w:lineRule="auto"/>
        <w:rPr>
          <w:rFonts w:ascii="Arial" w:hAnsi="Arial" w:cs="Arial"/>
          <w:b/>
          <w:bCs/>
          <w:sz w:val="28"/>
          <w:szCs w:val="28"/>
        </w:rPr>
      </w:pP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7777777" w:rsidR="008B6E73" w:rsidRDefault="008B6E73"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67028461" w14:textId="77777777" w:rsidR="008B6E73" w:rsidRDefault="008B6E73" w:rsidP="008B6E73">
      <w:pPr>
        <w:spacing w:after="0" w:line="360" w:lineRule="auto"/>
        <w:jc w:val="center"/>
      </w:pPr>
      <w:r>
        <w:rPr>
          <w:rFonts w:ascii="Arial" w:hAnsi="Arial" w:cs="Arial"/>
          <w:sz w:val="28"/>
          <w:szCs w:val="28"/>
        </w:rPr>
        <w:t>NA-NEBA-2301-B1-012</w:t>
      </w:r>
    </w:p>
    <w:p w14:paraId="669D6264" w14:textId="77777777" w:rsidR="008B6E73" w:rsidRDefault="008B6E73" w:rsidP="008B6E73">
      <w:pPr>
        <w:spacing w:after="0" w:line="360" w:lineRule="auto"/>
        <w:jc w:val="center"/>
        <w:rPr>
          <w:rFonts w:ascii="Arial" w:hAnsi="Arial" w:cs="Arial"/>
          <w:b/>
          <w:bCs/>
          <w:sz w:val="28"/>
          <w:szCs w:val="28"/>
        </w:rPr>
      </w:pPr>
    </w:p>
    <w:p w14:paraId="3ED47869" w14:textId="77777777" w:rsidR="008B6E73" w:rsidRDefault="008B6E73" w:rsidP="008B6E73">
      <w:pPr>
        <w:spacing w:after="0" w:line="360" w:lineRule="auto"/>
        <w:jc w:val="center"/>
        <w:rPr>
          <w:rFonts w:ascii="Arial" w:hAnsi="Arial" w:cs="Arial"/>
          <w:b/>
          <w:bCs/>
          <w:sz w:val="28"/>
          <w:szCs w:val="28"/>
        </w:rPr>
      </w:pPr>
    </w:p>
    <w:p w14:paraId="781C2510"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ASESOR(A): ANA DELIA MONROY GARCÍA.</w:t>
      </w:r>
    </w:p>
    <w:p w14:paraId="6AC6DD9B" w14:textId="77777777" w:rsidR="008B6E73" w:rsidRDefault="008B6E73" w:rsidP="008B6E73">
      <w:pPr>
        <w:spacing w:after="0" w:line="360" w:lineRule="auto"/>
        <w:jc w:val="center"/>
        <w:rPr>
          <w:rFonts w:ascii="Arial" w:hAnsi="Arial" w:cs="Arial"/>
          <w:b/>
          <w:bCs/>
          <w:sz w:val="28"/>
          <w:szCs w:val="28"/>
        </w:rPr>
      </w:pP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53241B0C" w14:textId="35C17CC1" w:rsidR="008B6E73" w:rsidRPr="00D57933" w:rsidRDefault="00D57933" w:rsidP="00D57933">
      <w:pPr>
        <w:shd w:val="clear" w:color="auto" w:fill="FFFFFF"/>
        <w:spacing w:after="100" w:afterAutospacing="1" w:line="240" w:lineRule="auto"/>
        <w:jc w:val="center"/>
        <w:outlineLvl w:val="1"/>
        <w:rPr>
          <w:rFonts w:ascii="Arial" w:hAnsi="Arial" w:cs="Arial"/>
          <w:b/>
          <w:bCs/>
          <w:sz w:val="28"/>
          <w:szCs w:val="28"/>
        </w:rPr>
      </w:pPr>
      <w:r w:rsidRPr="00D57933">
        <w:rPr>
          <w:rFonts w:ascii="Arial" w:hAnsi="Arial" w:cs="Arial"/>
          <w:b/>
          <w:bCs/>
          <w:sz w:val="28"/>
          <w:szCs w:val="28"/>
        </w:rPr>
        <w:t>Medidas de tendencia central y de dispersión</w:t>
      </w: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6D87D569" w:rsidR="00D04DA7" w:rsidRPr="00D57933" w:rsidRDefault="00D57933" w:rsidP="00D57933">
      <w:pPr>
        <w:jc w:val="center"/>
        <w:rPr>
          <w:rFonts w:ascii="Arial" w:hAnsi="Arial" w:cs="Arial"/>
          <w:sz w:val="28"/>
          <w:szCs w:val="28"/>
        </w:rPr>
      </w:pPr>
      <w:r w:rsidRPr="00D57933">
        <w:rPr>
          <w:rFonts w:ascii="Arial" w:hAnsi="Arial" w:cs="Arial"/>
          <w:sz w:val="28"/>
          <w:szCs w:val="28"/>
        </w:rPr>
        <w:t>15 de marzo de 2023</w:t>
      </w:r>
    </w:p>
    <w:p w14:paraId="6BDA4838" w14:textId="77777777" w:rsidR="008B6E73" w:rsidRDefault="008B6E73" w:rsidP="00D04DA7"/>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4CF2B612" w14:textId="77777777" w:rsidR="00D57933" w:rsidRPr="00D57933" w:rsidRDefault="00D57933" w:rsidP="00D57933">
      <w:pPr>
        <w:spacing w:line="276" w:lineRule="auto"/>
        <w:jc w:val="both"/>
        <w:rPr>
          <w:rFonts w:ascii="Arial" w:hAnsi="Arial" w:cs="Arial"/>
        </w:rPr>
      </w:pPr>
      <w:r w:rsidRPr="00D57933">
        <w:rPr>
          <w:rFonts w:ascii="Arial" w:hAnsi="Arial" w:cs="Arial"/>
        </w:rPr>
        <w:t>Las medidas de tendencia central y de dispersión son herramientas estadísticas utilizadas para resumir y analizar conjuntos de datos numéricos. Las medidas de tendencia central se utilizan para describir el valor típico o promedio de un conjunto de datos, mientras que las medidas de dispersión se utilizan para describir la variabilidad de los datos.</w:t>
      </w:r>
    </w:p>
    <w:p w14:paraId="163FAE94" w14:textId="77777777" w:rsidR="00D57933" w:rsidRPr="00D57933" w:rsidRDefault="00D57933" w:rsidP="00D57933">
      <w:pPr>
        <w:spacing w:line="276" w:lineRule="auto"/>
        <w:jc w:val="both"/>
        <w:rPr>
          <w:rFonts w:ascii="Arial" w:hAnsi="Arial" w:cs="Arial"/>
        </w:rPr>
      </w:pPr>
      <w:r w:rsidRPr="00D57933">
        <w:rPr>
          <w:rFonts w:ascii="Arial" w:hAnsi="Arial" w:cs="Arial"/>
        </w:rPr>
        <w:t>La medida de tendencia central más común es la media aritmética, que se calcula sumando todos los valores en un conjunto de datos y dividiendo el resultado por el número total de valores. La mediana es el valor medio de los datos cuando se ordenan de menor a mayor, y la moda es el valor que ocurre con mayor frecuencia en los datos.</w:t>
      </w:r>
    </w:p>
    <w:p w14:paraId="241915AB" w14:textId="77777777" w:rsidR="00D57933" w:rsidRPr="00D57933" w:rsidRDefault="00D57933" w:rsidP="00D57933">
      <w:pPr>
        <w:spacing w:line="276" w:lineRule="auto"/>
        <w:jc w:val="both"/>
        <w:rPr>
          <w:rFonts w:ascii="Arial" w:hAnsi="Arial" w:cs="Arial"/>
        </w:rPr>
      </w:pPr>
      <w:r w:rsidRPr="00D57933">
        <w:rPr>
          <w:rFonts w:ascii="Arial" w:hAnsi="Arial" w:cs="Arial"/>
        </w:rPr>
        <w:t>Las medidas de dispersión más comunes son la varianza y la desviación estándar. La varianza mide cuánto se alejan los valores de los datos de la media, mientras que la desviación estándar es la raíz cuadrada de la varianza. La desviación estándar es una medida más utilizada que la varianza, ya que tiene las mismas unidades que los datos y es más fácil de interpretar.</w:t>
      </w:r>
    </w:p>
    <w:p w14:paraId="716119E9" w14:textId="77777777" w:rsidR="00D57933" w:rsidRPr="00D57933" w:rsidRDefault="00D57933" w:rsidP="00D57933">
      <w:pPr>
        <w:spacing w:line="276" w:lineRule="auto"/>
        <w:jc w:val="both"/>
        <w:rPr>
          <w:rFonts w:ascii="Arial" w:hAnsi="Arial" w:cs="Arial"/>
        </w:rPr>
      </w:pPr>
      <w:r w:rsidRPr="00D57933">
        <w:rPr>
          <w:rFonts w:ascii="Arial" w:hAnsi="Arial" w:cs="Arial"/>
        </w:rPr>
        <w:t>Estas medidas son importantes porque ayudan a resumir y comunicar de manera efectiva las características de un conjunto de datos, lo que a su vez puede ayudar a tomar decisiones más informadas. Por ejemplo, en el campo de la nutrición, las medidas de tendencia central y de dispersión se utilizan para analizar la distribución de datos sobre el consumo de nutrientes en una población, lo que puede ayudar a identificar las necesidades nutricionales y los riesgos para la salud.</w:t>
      </w:r>
    </w:p>
    <w:p w14:paraId="57368F43" w14:textId="77777777" w:rsidR="00D04DA7" w:rsidRPr="00D57933" w:rsidRDefault="00D04DA7" w:rsidP="00D57933">
      <w:pPr>
        <w:spacing w:line="276" w:lineRule="auto"/>
        <w:jc w:val="both"/>
        <w:rPr>
          <w:rFonts w:ascii="Arial" w:hAnsi="Arial" w:cs="Arial"/>
        </w:rP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643FD709" w14:textId="5566F061" w:rsidR="00D04DA7" w:rsidRDefault="00D04DA7" w:rsidP="00D04DA7"/>
    <w:p w14:paraId="69209639" w14:textId="77777777" w:rsidR="00D57933" w:rsidRDefault="00D57933" w:rsidP="00D04DA7"/>
    <w:p w14:paraId="4E18FDA6" w14:textId="77777777" w:rsidR="00D04DA7" w:rsidRDefault="00D04DA7" w:rsidP="00D04DA7">
      <w:pPr>
        <w:jc w:val="center"/>
      </w:pPr>
    </w:p>
    <w:p w14:paraId="29C0BA3B" w14:textId="77777777" w:rsidR="00AA58F9" w:rsidRDefault="00AA58F9" w:rsidP="00D04DA7">
      <w:pPr>
        <w:rPr>
          <w:rFonts w:ascii="Arial" w:hAnsi="Arial" w:cs="Arial"/>
        </w:rPr>
        <w:sectPr w:rsidR="00AA58F9">
          <w:headerReference w:type="default" r:id="rId7"/>
          <w:pgSz w:w="12240" w:h="15840"/>
          <w:pgMar w:top="1417" w:right="1701" w:bottom="1417" w:left="1701" w:header="708" w:footer="708" w:gutter="0"/>
          <w:cols w:space="708"/>
          <w:docGrid w:linePitch="360"/>
        </w:sectPr>
      </w:pPr>
    </w:p>
    <w:p w14:paraId="61B53569" w14:textId="4984EBAF" w:rsidR="00AA58F9" w:rsidRPr="00AA58F9" w:rsidRDefault="00AA58F9" w:rsidP="00AA58F9">
      <w:pPr>
        <w:jc w:val="center"/>
        <w:rPr>
          <w:rFonts w:ascii="Arial" w:hAnsi="Arial" w:cs="Arial"/>
          <w:b/>
          <w:bCs/>
          <w:sz w:val="24"/>
          <w:szCs w:val="24"/>
        </w:rPr>
        <w:sectPr w:rsidR="00AA58F9" w:rsidRPr="00AA58F9" w:rsidSect="00AA58F9">
          <w:pgSz w:w="15840" w:h="12240" w:orient="landscape"/>
          <w:pgMar w:top="1701" w:right="1418" w:bottom="1701" w:left="1418" w:header="709" w:footer="709" w:gutter="0"/>
          <w:cols w:space="708"/>
          <w:docGrid w:linePitch="360"/>
        </w:sectPr>
      </w:pPr>
      <w:r>
        <w:rPr>
          <w:noProof/>
        </w:rPr>
        <w:lastRenderedPageBreak/>
        <w:drawing>
          <wp:anchor distT="0" distB="0" distL="114300" distR="114300" simplePos="0" relativeHeight="251658240" behindDoc="0" locked="0" layoutInCell="1" allowOverlap="1" wp14:anchorId="014347A0" wp14:editId="35FF921E">
            <wp:simplePos x="0" y="0"/>
            <wp:positionH relativeFrom="margin">
              <wp:posOffset>261411</wp:posOffset>
            </wp:positionH>
            <wp:positionV relativeFrom="paragraph">
              <wp:posOffset>362793</wp:posOffset>
            </wp:positionV>
            <wp:extent cx="8009843" cy="6007867"/>
            <wp:effectExtent l="0" t="0" r="0" b="0"/>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9843" cy="6007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EB">
        <w:rPr>
          <w:rFonts w:ascii="Arial" w:hAnsi="Arial" w:cs="Arial"/>
          <w:b/>
          <w:bCs/>
          <w:sz w:val="24"/>
          <w:szCs w:val="24"/>
        </w:rPr>
        <w:t>DESARROLLO DE LA ACTIVIDAD</w:t>
      </w:r>
    </w:p>
    <w:p w14:paraId="0F798D17" w14:textId="77777777" w:rsidR="004339A9" w:rsidRPr="00C569EB" w:rsidRDefault="004339A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14D1D7AA" w14:textId="77777777" w:rsidR="00D57933" w:rsidRPr="00D57933" w:rsidRDefault="00D57933" w:rsidP="00D57933">
      <w:pPr>
        <w:spacing w:line="276" w:lineRule="auto"/>
        <w:jc w:val="both"/>
        <w:rPr>
          <w:rFonts w:ascii="Arial" w:hAnsi="Arial" w:cs="Arial"/>
        </w:rPr>
      </w:pPr>
      <w:r w:rsidRPr="00D57933">
        <w:rPr>
          <w:rFonts w:ascii="Arial" w:hAnsi="Arial" w:cs="Arial"/>
        </w:rPr>
        <w:t>En conclusión, las medidas de tendencia central y de dispersión son herramientas estadísticas importantes para resumir y analizar conjuntos de datos numéricos. Las medidas de tendencia central describen el valor típico o promedio de un conjunto de datos, mientras que las medidas de dispersión describen la variabilidad de los datos.</w:t>
      </w:r>
    </w:p>
    <w:p w14:paraId="514B5126" w14:textId="77777777" w:rsidR="00D57933" w:rsidRPr="00D57933" w:rsidRDefault="00D57933" w:rsidP="00D57933">
      <w:pPr>
        <w:spacing w:line="276" w:lineRule="auto"/>
        <w:jc w:val="both"/>
        <w:rPr>
          <w:rFonts w:ascii="Arial" w:hAnsi="Arial" w:cs="Arial"/>
        </w:rPr>
      </w:pPr>
      <w:r w:rsidRPr="00D57933">
        <w:rPr>
          <w:rFonts w:ascii="Arial" w:hAnsi="Arial" w:cs="Arial"/>
        </w:rPr>
        <w:t>Es importante recordar que estas medidas deben utilizarse con precaución y deben ser interpretadas en el contexto del problema o cuestión que se está analizando. Además, es importante tener en cuenta que existen otras medidas de tendencia central y de dispersión que pueden ser más apropiadas en determinadas situaciones, dependiendo del tipo de datos y de la pregunta de investigación.</w:t>
      </w:r>
    </w:p>
    <w:p w14:paraId="51750814" w14:textId="77777777" w:rsidR="00D57933" w:rsidRPr="00D57933" w:rsidRDefault="00D57933" w:rsidP="00D57933">
      <w:pPr>
        <w:spacing w:line="276" w:lineRule="auto"/>
        <w:jc w:val="both"/>
        <w:rPr>
          <w:rFonts w:ascii="Arial" w:hAnsi="Arial" w:cs="Arial"/>
        </w:rPr>
      </w:pPr>
      <w:r w:rsidRPr="00D57933">
        <w:rPr>
          <w:rFonts w:ascii="Arial" w:hAnsi="Arial" w:cs="Arial"/>
        </w:rPr>
        <w:t>En el campo de la nutrición, las medidas de tendencia central y de dispersión se utilizan para analizar la distribución de datos sobre el consumo de nutrientes en una población, lo que puede ayudar a identificar las necesidades nutricionales y los riesgos para la salud. En última instancia, el uso adecuado de estas herramientas estadísticas puede ayudar a tomar decisiones más informadas y a mejorar la comprensión de los datos en diferentes campos de estudio.</w:t>
      </w:r>
    </w:p>
    <w:p w14:paraId="02763F1B" w14:textId="77777777" w:rsidR="00D04DA7" w:rsidRPr="00D57933" w:rsidRDefault="00D04DA7" w:rsidP="00D57933">
      <w:pPr>
        <w:spacing w:line="276" w:lineRule="auto"/>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5DECE236" w14:textId="3EACF86F" w:rsidR="00D04DA7" w:rsidRDefault="00D04DA7" w:rsidP="00D57933">
      <w:pPr>
        <w:rPr>
          <w:rFonts w:ascii="Arial" w:hAnsi="Arial" w:cs="Arial"/>
          <w:b/>
          <w:bCs/>
          <w:sz w:val="24"/>
          <w:szCs w:val="24"/>
        </w:rPr>
      </w:pPr>
    </w:p>
    <w:p w14:paraId="0CC37F69" w14:textId="77777777" w:rsidR="00D57933" w:rsidRPr="00C569EB" w:rsidRDefault="00D57933" w:rsidP="00D57933">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20968143" w14:textId="144A2264" w:rsidR="003D1E2A" w:rsidRPr="00B03B1F" w:rsidRDefault="00B03B1F" w:rsidP="00B03B1F">
      <w:pPr>
        <w:spacing w:line="276" w:lineRule="auto"/>
        <w:jc w:val="both"/>
        <w:rPr>
          <w:rFonts w:ascii="Arial" w:hAnsi="Arial" w:cs="Arial"/>
        </w:rPr>
      </w:pPr>
      <w:proofErr w:type="spellStart"/>
      <w:r w:rsidRPr="00B03B1F">
        <w:rPr>
          <w:rFonts w:ascii="Arial" w:hAnsi="Arial" w:cs="Arial"/>
        </w:rPr>
        <w:t>Trochim</w:t>
      </w:r>
      <w:proofErr w:type="spellEnd"/>
      <w:r w:rsidRPr="00B03B1F">
        <w:rPr>
          <w:rFonts w:ascii="Arial" w:hAnsi="Arial" w:cs="Arial"/>
        </w:rPr>
        <w:t xml:space="preserve">, W. M., &amp; Donnelly, J. P. (2008). La base de conocimientos de métodos de investigación. Cengage </w:t>
      </w:r>
      <w:proofErr w:type="spellStart"/>
      <w:r w:rsidRPr="00B03B1F">
        <w:rPr>
          <w:rFonts w:ascii="Arial" w:hAnsi="Arial" w:cs="Arial"/>
        </w:rPr>
        <w:t>Learning</w:t>
      </w:r>
      <w:proofErr w:type="spellEnd"/>
      <w:r w:rsidRPr="00B03B1F">
        <w:rPr>
          <w:rFonts w:ascii="Arial" w:hAnsi="Arial" w:cs="Arial"/>
        </w:rPr>
        <w:t>.</w:t>
      </w:r>
    </w:p>
    <w:p w14:paraId="7B161A5C" w14:textId="19FE38EE" w:rsidR="00B03B1F" w:rsidRPr="00B03B1F" w:rsidRDefault="00B03B1F" w:rsidP="00B03B1F">
      <w:pPr>
        <w:spacing w:line="276" w:lineRule="auto"/>
        <w:jc w:val="both"/>
        <w:rPr>
          <w:rFonts w:ascii="Arial" w:hAnsi="Arial" w:cs="Arial"/>
        </w:rPr>
      </w:pPr>
    </w:p>
    <w:p w14:paraId="48DABF87" w14:textId="42BD16F2" w:rsidR="00B03B1F" w:rsidRPr="00B03B1F" w:rsidRDefault="00B03B1F" w:rsidP="00B03B1F">
      <w:pPr>
        <w:spacing w:line="276" w:lineRule="auto"/>
        <w:jc w:val="both"/>
        <w:rPr>
          <w:rFonts w:ascii="Arial" w:hAnsi="Arial" w:cs="Arial"/>
        </w:rPr>
      </w:pPr>
      <w:r w:rsidRPr="00B03B1F">
        <w:rPr>
          <w:rFonts w:ascii="Arial" w:hAnsi="Arial" w:cs="Arial"/>
        </w:rPr>
        <w:t xml:space="preserve">O'Connor, B. P. (2000). Programas SPSS y SAS para determinar el número de componentes mediante análisis paralelos y la prueba MAP de </w:t>
      </w:r>
      <w:proofErr w:type="spellStart"/>
      <w:r w:rsidRPr="00B03B1F">
        <w:rPr>
          <w:rFonts w:ascii="Arial" w:hAnsi="Arial" w:cs="Arial"/>
        </w:rPr>
        <w:t>Velicer</w:t>
      </w:r>
      <w:proofErr w:type="spellEnd"/>
      <w:r w:rsidRPr="00B03B1F">
        <w:rPr>
          <w:rFonts w:ascii="Arial" w:hAnsi="Arial" w:cs="Arial"/>
        </w:rPr>
        <w:t>. Métodos de investigación en psicología y educación, 32(3), 396-402.</w:t>
      </w:r>
    </w:p>
    <w:p w14:paraId="6B262C76" w14:textId="32848FF2" w:rsidR="00B03B1F" w:rsidRPr="00B03B1F" w:rsidRDefault="00B03B1F" w:rsidP="00B03B1F">
      <w:pPr>
        <w:spacing w:line="276" w:lineRule="auto"/>
        <w:jc w:val="both"/>
        <w:rPr>
          <w:rFonts w:ascii="Arial" w:hAnsi="Arial" w:cs="Arial"/>
        </w:rPr>
      </w:pPr>
    </w:p>
    <w:p w14:paraId="420AED55" w14:textId="5F91D9D6" w:rsidR="00B03B1F" w:rsidRPr="00B03B1F" w:rsidRDefault="00B03B1F" w:rsidP="00B03B1F">
      <w:pPr>
        <w:spacing w:line="276" w:lineRule="auto"/>
        <w:jc w:val="both"/>
        <w:rPr>
          <w:rFonts w:ascii="Arial" w:hAnsi="Arial" w:cs="Arial"/>
        </w:rPr>
      </w:pPr>
      <w:r w:rsidRPr="00B03B1F">
        <w:rPr>
          <w:rFonts w:ascii="Arial" w:hAnsi="Arial" w:cs="Arial"/>
        </w:rPr>
        <w:t xml:space="preserve">Khan </w:t>
      </w:r>
      <w:proofErr w:type="spellStart"/>
      <w:r w:rsidRPr="00B03B1F">
        <w:rPr>
          <w:rFonts w:ascii="Arial" w:hAnsi="Arial" w:cs="Arial"/>
        </w:rPr>
        <w:t>Academy</w:t>
      </w:r>
      <w:proofErr w:type="spellEnd"/>
      <w:r w:rsidRPr="00B03B1F">
        <w:rPr>
          <w:rFonts w:ascii="Arial" w:hAnsi="Arial" w:cs="Arial"/>
        </w:rPr>
        <w:t xml:space="preserve">. (s. f.). </w:t>
      </w:r>
      <w:proofErr w:type="spellStart"/>
      <w:r w:rsidRPr="00B03B1F">
        <w:rPr>
          <w:rFonts w:ascii="Arial" w:hAnsi="Arial" w:cs="Arial"/>
        </w:rPr>
        <w:t>Measures</w:t>
      </w:r>
      <w:proofErr w:type="spellEnd"/>
      <w:r w:rsidRPr="00B03B1F">
        <w:rPr>
          <w:rFonts w:ascii="Arial" w:hAnsi="Arial" w:cs="Arial"/>
        </w:rPr>
        <w:t xml:space="preserve"> </w:t>
      </w:r>
      <w:proofErr w:type="spellStart"/>
      <w:r w:rsidRPr="00B03B1F">
        <w:rPr>
          <w:rFonts w:ascii="Arial" w:hAnsi="Arial" w:cs="Arial"/>
        </w:rPr>
        <w:t>of</w:t>
      </w:r>
      <w:proofErr w:type="spellEnd"/>
      <w:r w:rsidRPr="00B03B1F">
        <w:rPr>
          <w:rFonts w:ascii="Arial" w:hAnsi="Arial" w:cs="Arial"/>
        </w:rPr>
        <w:t xml:space="preserve"> spread. Recuperado el 15 de marzo de 2023, de </w:t>
      </w:r>
      <w:hyperlink r:id="rId9" w:tgtFrame="_new" w:history="1">
        <w:r w:rsidRPr="00B03B1F">
          <w:rPr>
            <w:rFonts w:ascii="Arial" w:hAnsi="Arial" w:cs="Arial"/>
          </w:rPr>
          <w:t>https://www.khanacademy.org/math/statistics-probability/summarizing-quantitative-data/measuring-spread-quantitative/v/measures-of-spread-range-variance-standard-deviation</w:t>
        </w:r>
      </w:hyperlink>
    </w:p>
    <w:p w14:paraId="795EBFC1" w14:textId="77777777" w:rsidR="00B03B1F" w:rsidRPr="00B03B1F" w:rsidRDefault="00B03B1F" w:rsidP="00B03B1F">
      <w:pPr>
        <w:spacing w:line="276" w:lineRule="auto"/>
        <w:jc w:val="both"/>
        <w:rPr>
          <w:rFonts w:ascii="Arial" w:hAnsi="Arial" w:cs="Arial"/>
        </w:rPr>
      </w:pPr>
    </w:p>
    <w:p w14:paraId="2293121B" w14:textId="38B2E513" w:rsidR="00B03B1F" w:rsidRPr="00B03B1F" w:rsidRDefault="00B03B1F" w:rsidP="00B03B1F">
      <w:pPr>
        <w:spacing w:line="276" w:lineRule="auto"/>
        <w:jc w:val="both"/>
        <w:rPr>
          <w:rFonts w:ascii="Arial" w:hAnsi="Arial" w:cs="Arial"/>
        </w:rPr>
      </w:pPr>
      <w:r w:rsidRPr="00B03B1F">
        <w:rPr>
          <w:rFonts w:ascii="Arial" w:hAnsi="Arial" w:cs="Arial"/>
        </w:rPr>
        <w:t xml:space="preserve">Kirkpatrick, L. A., &amp; </w:t>
      </w:r>
      <w:proofErr w:type="spellStart"/>
      <w:r w:rsidRPr="00B03B1F">
        <w:rPr>
          <w:rFonts w:ascii="Arial" w:hAnsi="Arial" w:cs="Arial"/>
        </w:rPr>
        <w:t>Feeney</w:t>
      </w:r>
      <w:proofErr w:type="spellEnd"/>
      <w:r w:rsidRPr="00B03B1F">
        <w:rPr>
          <w:rFonts w:ascii="Arial" w:hAnsi="Arial" w:cs="Arial"/>
        </w:rPr>
        <w:t xml:space="preserve">, B. C. (2011). Una guía sencilla de IBM SPSS estadística para la versión 20.0. Cengage </w:t>
      </w:r>
      <w:proofErr w:type="spellStart"/>
      <w:r w:rsidRPr="00B03B1F">
        <w:rPr>
          <w:rFonts w:ascii="Arial" w:hAnsi="Arial" w:cs="Arial"/>
        </w:rPr>
        <w:t>Learning</w:t>
      </w:r>
      <w:proofErr w:type="spellEnd"/>
      <w:r w:rsidRPr="00B03B1F">
        <w:rPr>
          <w:rFonts w:ascii="Arial" w:hAnsi="Arial" w:cs="Arial"/>
        </w:rPr>
        <w:t>.</w:t>
      </w:r>
    </w:p>
    <w:sectPr w:rsidR="00B03B1F" w:rsidRPr="00B03B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1799" w14:textId="77777777" w:rsidR="00357D6B" w:rsidRDefault="00357D6B" w:rsidP="00D04DA7">
      <w:pPr>
        <w:spacing w:after="0" w:line="240" w:lineRule="auto"/>
      </w:pPr>
      <w:r>
        <w:separator/>
      </w:r>
    </w:p>
  </w:endnote>
  <w:endnote w:type="continuationSeparator" w:id="0">
    <w:p w14:paraId="0FBC1C9B" w14:textId="77777777" w:rsidR="00357D6B" w:rsidRDefault="00357D6B"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5A24E" w14:textId="77777777" w:rsidR="00357D6B" w:rsidRDefault="00357D6B" w:rsidP="00D04DA7">
      <w:pPr>
        <w:spacing w:after="0" w:line="240" w:lineRule="auto"/>
      </w:pPr>
      <w:r>
        <w:separator/>
      </w:r>
    </w:p>
  </w:footnote>
  <w:footnote w:type="continuationSeparator" w:id="0">
    <w:p w14:paraId="1C280D68" w14:textId="77777777" w:rsidR="00357D6B" w:rsidRDefault="00357D6B"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E920E14"/>
    <w:multiLevelType w:val="multilevel"/>
    <w:tmpl w:val="92E8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257746">
    <w:abstractNumId w:val="0"/>
  </w:num>
  <w:num w:numId="2" w16cid:durableId="16713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357D6B"/>
    <w:rsid w:val="003C646E"/>
    <w:rsid w:val="003D1E2A"/>
    <w:rsid w:val="004339A9"/>
    <w:rsid w:val="00761426"/>
    <w:rsid w:val="00776735"/>
    <w:rsid w:val="008B6E73"/>
    <w:rsid w:val="009267BB"/>
    <w:rsid w:val="00A27F3C"/>
    <w:rsid w:val="00AA58F9"/>
    <w:rsid w:val="00B03B1F"/>
    <w:rsid w:val="00B2643B"/>
    <w:rsid w:val="00D04DA7"/>
    <w:rsid w:val="00D57933"/>
    <w:rsid w:val="00FC2E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D5793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D57933"/>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D579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03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9964">
      <w:bodyDiv w:val="1"/>
      <w:marLeft w:val="0"/>
      <w:marRight w:val="0"/>
      <w:marTop w:val="0"/>
      <w:marBottom w:val="0"/>
      <w:divBdr>
        <w:top w:val="none" w:sz="0" w:space="0" w:color="auto"/>
        <w:left w:val="none" w:sz="0" w:space="0" w:color="auto"/>
        <w:bottom w:val="none" w:sz="0" w:space="0" w:color="auto"/>
        <w:right w:val="none" w:sz="0" w:space="0" w:color="auto"/>
      </w:divBdr>
    </w:div>
    <w:div w:id="49449456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33956589">
      <w:bodyDiv w:val="1"/>
      <w:marLeft w:val="0"/>
      <w:marRight w:val="0"/>
      <w:marTop w:val="0"/>
      <w:marBottom w:val="0"/>
      <w:divBdr>
        <w:top w:val="none" w:sz="0" w:space="0" w:color="auto"/>
        <w:left w:val="none" w:sz="0" w:space="0" w:color="auto"/>
        <w:bottom w:val="none" w:sz="0" w:space="0" w:color="auto"/>
        <w:right w:val="none" w:sz="0" w:space="0" w:color="auto"/>
      </w:divBdr>
    </w:div>
    <w:div w:id="1955601157">
      <w:bodyDiv w:val="1"/>
      <w:marLeft w:val="0"/>
      <w:marRight w:val="0"/>
      <w:marTop w:val="0"/>
      <w:marBottom w:val="0"/>
      <w:divBdr>
        <w:top w:val="none" w:sz="0" w:space="0" w:color="auto"/>
        <w:left w:val="none" w:sz="0" w:space="0" w:color="auto"/>
        <w:bottom w:val="none" w:sz="0" w:space="0" w:color="auto"/>
        <w:right w:val="none" w:sz="0" w:space="0" w:color="auto"/>
      </w:divBdr>
    </w:div>
    <w:div w:id="212923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hanacademy.org/math/statistics-probability/summarizing-quantitative-data/measuring-spread-quantitative/v/measures-of-spread-range-variance-standard-devi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dcterms:created xsi:type="dcterms:W3CDTF">2023-03-16T00:30:00Z</dcterms:created>
  <dcterms:modified xsi:type="dcterms:W3CDTF">2023-03-16T00:32:00Z</dcterms:modified>
</cp:coreProperties>
</file>