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1FDF602" w14:textId="51CD2EC6" w:rsidR="00113A85" w:rsidRDefault="008B6E73" w:rsidP="00020225">
      <w:pPr>
        <w:pStyle w:val="Ttulo1"/>
        <w:shd w:val="clear" w:color="auto" w:fill="FFFFFF"/>
        <w:spacing w:before="0" w:beforeAutospacing="0"/>
        <w:jc w:val="center"/>
        <w:rPr>
          <w:rFonts w:ascii="Arial" w:eastAsiaTheme="minorHAnsi" w:hAnsi="Arial" w:cs="Arial"/>
          <w:kern w:val="0"/>
          <w:sz w:val="28"/>
          <w:szCs w:val="28"/>
          <w:lang w:eastAsia="en-US"/>
        </w:rPr>
      </w:pPr>
      <w:r w:rsidRPr="00D23B14">
        <w:rPr>
          <w:rFonts w:ascii="Arial" w:eastAsiaTheme="minorHAnsi" w:hAnsi="Arial" w:cs="Arial"/>
          <w:kern w:val="0"/>
          <w:sz w:val="28"/>
          <w:szCs w:val="28"/>
          <w:lang w:eastAsia="en-US"/>
        </w:rPr>
        <w:t xml:space="preserve">ASIGNATURA: </w:t>
      </w:r>
      <w:r w:rsidR="00D23B14" w:rsidRPr="00D23B14">
        <w:rPr>
          <w:rFonts w:ascii="Arial" w:eastAsiaTheme="minorHAnsi" w:hAnsi="Arial" w:cs="Arial"/>
          <w:kern w:val="0"/>
          <w:sz w:val="28"/>
          <w:szCs w:val="28"/>
          <w:lang w:eastAsia="en-US"/>
        </w:rPr>
        <w:t>Bioquímica de la nutrición</w:t>
      </w:r>
    </w:p>
    <w:p w14:paraId="492D3CEF" w14:textId="77777777" w:rsidR="00020225" w:rsidRPr="00113A85" w:rsidRDefault="00020225" w:rsidP="0002022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5D34E8A0" w14:textId="77777777" w:rsidR="00020225" w:rsidRDefault="00020225" w:rsidP="00020225">
      <w:pPr>
        <w:spacing w:after="0" w:line="360" w:lineRule="auto"/>
        <w:jc w:val="center"/>
        <w:rPr>
          <w:rFonts w:ascii="Arial" w:hAnsi="Arial" w:cs="Arial"/>
          <w:sz w:val="28"/>
          <w:szCs w:val="28"/>
        </w:rPr>
      </w:pPr>
      <w:r w:rsidRPr="00020225">
        <w:rPr>
          <w:rFonts w:ascii="Arial" w:hAnsi="Arial" w:cs="Arial"/>
          <w:sz w:val="28"/>
          <w:szCs w:val="28"/>
        </w:rPr>
        <w:t>Unidad 1. Biología celular</w:t>
      </w:r>
    </w:p>
    <w:p w14:paraId="1929A538" w14:textId="77777777" w:rsidR="006A209D" w:rsidRDefault="006A209D" w:rsidP="006A209D">
      <w:pPr>
        <w:spacing w:after="0" w:line="360" w:lineRule="auto"/>
        <w:jc w:val="center"/>
        <w:rPr>
          <w:rFonts w:ascii="Arial" w:hAnsi="Arial" w:cs="Arial"/>
          <w:b/>
          <w:bCs/>
          <w:sz w:val="28"/>
          <w:szCs w:val="28"/>
        </w:rPr>
      </w:pP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731AFC95" w14:textId="428676C3" w:rsidR="00020225" w:rsidRDefault="00020225" w:rsidP="006A209D">
      <w:pPr>
        <w:spacing w:after="0" w:line="360" w:lineRule="auto"/>
        <w:jc w:val="center"/>
        <w:rPr>
          <w:rFonts w:ascii="Arial" w:hAnsi="Arial" w:cs="Arial"/>
          <w:sz w:val="28"/>
          <w:szCs w:val="28"/>
        </w:rPr>
      </w:pPr>
      <w:r w:rsidRPr="00020225">
        <w:rPr>
          <w:rFonts w:ascii="Arial" w:hAnsi="Arial" w:cs="Arial"/>
          <w:sz w:val="28"/>
          <w:szCs w:val="28"/>
        </w:rPr>
        <w:t>Evidencia de Aprendizaje</w:t>
      </w:r>
      <w:r>
        <w:rPr>
          <w:rFonts w:ascii="Arial" w:hAnsi="Arial" w:cs="Arial"/>
          <w:sz w:val="28"/>
          <w:szCs w:val="28"/>
        </w:rPr>
        <w:t>:</w:t>
      </w:r>
      <w:r w:rsidRPr="00020225">
        <w:rPr>
          <w:rFonts w:ascii="Arial" w:hAnsi="Arial" w:cs="Arial"/>
          <w:sz w:val="28"/>
          <w:szCs w:val="28"/>
        </w:rPr>
        <w:t xml:space="preserve"> Importancia de las mitocondrias</w:t>
      </w:r>
    </w:p>
    <w:p w14:paraId="40E92A9C" w14:textId="77777777" w:rsidR="00020225" w:rsidRDefault="00020225" w:rsidP="006A209D">
      <w:pPr>
        <w:spacing w:after="0" w:line="360" w:lineRule="auto"/>
        <w:jc w:val="center"/>
        <w:rPr>
          <w:rFonts w:ascii="Arial" w:hAnsi="Arial" w:cs="Arial"/>
          <w:sz w:val="28"/>
          <w:szCs w:val="28"/>
        </w:rPr>
      </w:pPr>
    </w:p>
    <w:p w14:paraId="55243A8C" w14:textId="578D0681" w:rsidR="006A209D" w:rsidRPr="006A209D"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8" w:history="1">
        <w:r w:rsidR="00D23B14" w:rsidRPr="00D23B14">
          <w:rPr>
            <w:rFonts w:ascii="Arial" w:hAnsi="Arial" w:cs="Arial"/>
            <w:sz w:val="28"/>
            <w:szCs w:val="28"/>
          </w:rPr>
          <w:t>ANA ISABEL AHUJA CASARIN</w:t>
        </w:r>
      </w:hyperlink>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020225">
      <w:pPr>
        <w:spacing w:after="0" w:line="360" w:lineRule="auto"/>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2B2E6F81" w14:textId="77777777" w:rsidR="008B6E73" w:rsidRDefault="008B6E73" w:rsidP="006A209D">
      <w:pPr>
        <w:spacing w:after="0" w:line="360" w:lineRule="auto"/>
        <w:rPr>
          <w:rFonts w:ascii="Arial" w:hAnsi="Arial" w:cs="Arial"/>
          <w:b/>
          <w:bCs/>
          <w:sz w:val="28"/>
          <w:szCs w:val="28"/>
        </w:rPr>
      </w:pPr>
    </w:p>
    <w:p w14:paraId="2F788107" w14:textId="77777777" w:rsidR="008B6E73" w:rsidRDefault="008B6E73" w:rsidP="008B6E73">
      <w:pPr>
        <w:spacing w:after="0" w:line="360" w:lineRule="auto"/>
        <w:jc w:val="center"/>
        <w:rPr>
          <w:rFonts w:ascii="Arial" w:hAnsi="Arial" w:cs="Arial"/>
          <w:b/>
          <w:bCs/>
          <w:sz w:val="28"/>
          <w:szCs w:val="28"/>
        </w:rPr>
      </w:pPr>
    </w:p>
    <w:p w14:paraId="52FE2299" w14:textId="77777777" w:rsidR="00020225" w:rsidRDefault="008B6E73" w:rsidP="008B6E73">
      <w:pPr>
        <w:spacing w:after="0" w:line="360" w:lineRule="auto"/>
        <w:jc w:val="center"/>
        <w:rPr>
          <w:rFonts w:ascii="Arial" w:hAnsi="Arial" w:cs="Arial"/>
          <w:b/>
          <w:bCs/>
          <w:sz w:val="28"/>
          <w:szCs w:val="28"/>
        </w:rPr>
      </w:pPr>
      <w:r>
        <w:rPr>
          <w:rFonts w:ascii="Arial" w:hAnsi="Arial" w:cs="Arial"/>
          <w:b/>
          <w:bCs/>
          <w:sz w:val="28"/>
          <w:szCs w:val="28"/>
        </w:rPr>
        <w:t>FECHA DE ENTREGA:</w:t>
      </w:r>
    </w:p>
    <w:p w14:paraId="3CFAC93A" w14:textId="2C387991" w:rsidR="008B6E73" w:rsidRDefault="00020225" w:rsidP="008B6E73">
      <w:pPr>
        <w:spacing w:after="0" w:line="360" w:lineRule="auto"/>
        <w:jc w:val="center"/>
        <w:rPr>
          <w:rFonts w:ascii="Arial" w:hAnsi="Arial" w:cs="Arial"/>
          <w:b/>
          <w:bCs/>
          <w:sz w:val="28"/>
          <w:szCs w:val="28"/>
        </w:rPr>
      </w:pPr>
      <w:r w:rsidRPr="00020225">
        <w:rPr>
          <w:rFonts w:ascii="Arial" w:hAnsi="Arial" w:cs="Arial"/>
          <w:sz w:val="28"/>
          <w:szCs w:val="28"/>
        </w:rPr>
        <w:t>24 de octubre de 2023</w:t>
      </w:r>
      <w:r w:rsidR="008B6E73">
        <w:rPr>
          <w:rFonts w:ascii="Arial" w:hAnsi="Arial" w:cs="Arial"/>
          <w:b/>
          <w:bCs/>
          <w:sz w:val="28"/>
          <w:szCs w:val="28"/>
        </w:rPr>
        <w:t xml:space="preserve"> </w:t>
      </w:r>
    </w:p>
    <w:p w14:paraId="6F6647BD" w14:textId="5330A5CF" w:rsidR="00D04DA7" w:rsidRDefault="00020225" w:rsidP="00D04DA7">
      <w:r>
        <w:tab/>
      </w:r>
      <w:r>
        <w:tab/>
      </w:r>
    </w:p>
    <w:p w14:paraId="049DB24B" w14:textId="77777777" w:rsidR="006A209D" w:rsidRDefault="006A209D" w:rsidP="00D04DA7"/>
    <w:p w14:paraId="5CAF661E" w14:textId="77777777" w:rsidR="006A209D" w:rsidRDefault="006A209D" w:rsidP="00D04DA7"/>
    <w:p w14:paraId="72EC2042" w14:textId="77777777" w:rsidR="006A209D" w:rsidRDefault="006A209D" w:rsidP="00D04DA7"/>
    <w:p w14:paraId="46B1F0ED" w14:textId="77777777" w:rsidR="006A209D" w:rsidRDefault="006A209D" w:rsidP="00D04DA7"/>
    <w:p w14:paraId="41DB1911" w14:textId="77777777" w:rsidR="00D04DA7" w:rsidRDefault="00D04DA7" w:rsidP="00D04DA7"/>
    <w:p w14:paraId="1681A726" w14:textId="77777777" w:rsidR="00020225" w:rsidRDefault="00020225"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4A7213B6" w14:textId="48F5FDA9" w:rsidR="00D04DA7" w:rsidRPr="000F3BDE" w:rsidRDefault="000F3BDE" w:rsidP="000F3BDE">
      <w:pPr>
        <w:spacing w:line="276" w:lineRule="auto"/>
        <w:jc w:val="both"/>
        <w:rPr>
          <w:rFonts w:ascii="Arial" w:hAnsi="Arial" w:cs="Arial"/>
        </w:rPr>
      </w:pPr>
      <w:r w:rsidRPr="000F3BDE">
        <w:rPr>
          <w:rFonts w:ascii="Arial" w:hAnsi="Arial" w:cs="Arial"/>
        </w:rPr>
        <w:t>Las mitocondrias, minúsculas estructuras dentro de las células, son las encargadas de generar la energía esencial para el funcionamiento de todos los tejidos y órganos en el cuerpo humano. Estas "centrales de energía" desempeñan un papel crítico en la producción de adenosín trifosfato (ATP), la fuente de energía primaria de nuestras células. La cantidad y la eficiencia de las mitocondrias varían en diferentes tipos de células y están influidas por factores como el nivel de actividad física y los hábitos perjudiciales, como el tabaquismo. En este artículo, exploraremos cómo se comportan las mitocondrias en varias células clave y cómo esta dinámica varía entre una persona sedentaria y fumadora y una persona atlética y sana. Esto destaca la importancia de un estilo de vida saludable en el mantenimiento de la salud celular y el bienestar general.</w:t>
      </w:r>
    </w:p>
    <w:p w14:paraId="156B03F6" w14:textId="77777777" w:rsidR="00D04DA7" w:rsidRPr="000F3BDE" w:rsidRDefault="00D04DA7" w:rsidP="00020225">
      <w:pPr>
        <w:spacing w:line="276" w:lineRule="auto"/>
        <w:jc w:val="both"/>
        <w:rPr>
          <w:rFonts w:ascii="Arial" w:hAnsi="Arial" w:cs="Arial"/>
        </w:rPr>
      </w:pPr>
    </w:p>
    <w:p w14:paraId="4583BBD9" w14:textId="77777777" w:rsidR="00D04DA7" w:rsidRPr="000F3BDE" w:rsidRDefault="00D04DA7" w:rsidP="00020225">
      <w:pPr>
        <w:spacing w:line="276" w:lineRule="auto"/>
        <w:jc w:val="both"/>
        <w:rPr>
          <w:rFonts w:ascii="Arial" w:hAnsi="Arial" w:cs="Arial"/>
        </w:rPr>
      </w:pPr>
    </w:p>
    <w:p w14:paraId="69CA589C" w14:textId="77777777" w:rsidR="00D04DA7" w:rsidRPr="000F3BDE" w:rsidRDefault="00D04DA7" w:rsidP="00020225">
      <w:pPr>
        <w:spacing w:line="276" w:lineRule="auto"/>
        <w:jc w:val="both"/>
        <w:rPr>
          <w:rFonts w:ascii="Arial" w:hAnsi="Arial" w:cs="Arial"/>
        </w:rPr>
      </w:pPr>
    </w:p>
    <w:p w14:paraId="12B63E47" w14:textId="77777777" w:rsidR="00D04DA7" w:rsidRPr="000F3BDE" w:rsidRDefault="00D04DA7" w:rsidP="00020225">
      <w:pPr>
        <w:spacing w:line="276" w:lineRule="auto"/>
        <w:jc w:val="both"/>
        <w:rPr>
          <w:rFonts w:ascii="Arial" w:hAnsi="Arial" w:cs="Arial"/>
        </w:rPr>
      </w:pPr>
    </w:p>
    <w:p w14:paraId="747FE8F4" w14:textId="77777777" w:rsidR="00D04DA7" w:rsidRPr="000F3BDE" w:rsidRDefault="00D04DA7" w:rsidP="00D04DA7">
      <w:pPr>
        <w:jc w:val="center"/>
      </w:pPr>
    </w:p>
    <w:p w14:paraId="6A18DD90" w14:textId="77777777" w:rsidR="00D04DA7" w:rsidRPr="000F3BDE" w:rsidRDefault="00D04DA7" w:rsidP="00D04DA7">
      <w:pPr>
        <w:jc w:val="center"/>
      </w:pPr>
    </w:p>
    <w:p w14:paraId="56F8C024" w14:textId="77777777" w:rsidR="00D04DA7" w:rsidRPr="000F3BDE" w:rsidRDefault="00D04DA7" w:rsidP="00D04DA7">
      <w:pPr>
        <w:jc w:val="center"/>
      </w:pPr>
    </w:p>
    <w:p w14:paraId="1FF01553" w14:textId="77777777" w:rsidR="00D04DA7" w:rsidRPr="000F3BDE" w:rsidRDefault="00D04DA7" w:rsidP="00D04DA7">
      <w:pPr>
        <w:jc w:val="center"/>
      </w:pPr>
    </w:p>
    <w:p w14:paraId="586EC860" w14:textId="77777777" w:rsidR="00D04DA7" w:rsidRPr="000F3BDE" w:rsidRDefault="00D04DA7" w:rsidP="00D04DA7">
      <w:pPr>
        <w:jc w:val="center"/>
      </w:pPr>
    </w:p>
    <w:p w14:paraId="2D09DFB2" w14:textId="77777777" w:rsidR="00D04DA7" w:rsidRPr="000F3BDE" w:rsidRDefault="00D04DA7" w:rsidP="00D04DA7">
      <w:pPr>
        <w:jc w:val="center"/>
      </w:pPr>
    </w:p>
    <w:p w14:paraId="6ED77AD1" w14:textId="77777777" w:rsidR="00D04DA7" w:rsidRPr="000F3BDE" w:rsidRDefault="00D04DA7" w:rsidP="00D04DA7">
      <w:pPr>
        <w:jc w:val="center"/>
      </w:pPr>
    </w:p>
    <w:p w14:paraId="5B8F84E2" w14:textId="77777777" w:rsidR="00D04DA7" w:rsidRPr="000F3BDE" w:rsidRDefault="00D04DA7" w:rsidP="00D04DA7">
      <w:pPr>
        <w:jc w:val="center"/>
      </w:pPr>
    </w:p>
    <w:p w14:paraId="2BE9ADBE" w14:textId="77777777" w:rsidR="00D04DA7" w:rsidRPr="000F3BDE" w:rsidRDefault="00D04DA7" w:rsidP="00D04DA7">
      <w:pPr>
        <w:jc w:val="center"/>
      </w:pPr>
    </w:p>
    <w:p w14:paraId="3EBB0B1F" w14:textId="77777777" w:rsidR="00D04DA7" w:rsidRPr="000F3BDE" w:rsidRDefault="00D04DA7" w:rsidP="00D04DA7">
      <w:pPr>
        <w:jc w:val="center"/>
      </w:pPr>
    </w:p>
    <w:p w14:paraId="28A66779" w14:textId="77777777" w:rsidR="00D04DA7" w:rsidRPr="000F3BDE" w:rsidRDefault="00D04DA7" w:rsidP="00D04DA7">
      <w:pPr>
        <w:jc w:val="center"/>
      </w:pPr>
    </w:p>
    <w:p w14:paraId="12DC642D" w14:textId="77777777" w:rsidR="00D04DA7" w:rsidRPr="000F3BDE" w:rsidRDefault="00D04DA7" w:rsidP="00D04DA7">
      <w:pPr>
        <w:jc w:val="center"/>
      </w:pPr>
    </w:p>
    <w:p w14:paraId="2BFBD64F" w14:textId="77777777" w:rsidR="00D04DA7" w:rsidRPr="000F3BDE" w:rsidRDefault="00D04DA7" w:rsidP="00D04DA7">
      <w:pPr>
        <w:jc w:val="center"/>
      </w:pPr>
    </w:p>
    <w:p w14:paraId="775964DF" w14:textId="77777777" w:rsidR="00D04DA7" w:rsidRPr="000F3BDE" w:rsidRDefault="00D04DA7" w:rsidP="00D04DA7"/>
    <w:p w14:paraId="3B7FA67D" w14:textId="77777777" w:rsidR="00D04DA7" w:rsidRPr="000F3BDE" w:rsidRDefault="00D04DA7" w:rsidP="00D04DA7"/>
    <w:p w14:paraId="2B22DD68" w14:textId="77777777" w:rsidR="00D04DA7" w:rsidRPr="000F3BDE" w:rsidRDefault="00D04DA7" w:rsidP="00D04DA7"/>
    <w:p w14:paraId="3CB086B3" w14:textId="77777777" w:rsidR="000F3BDE" w:rsidRPr="000F3BDE" w:rsidRDefault="000F3BDE" w:rsidP="00020225">
      <w:pPr>
        <w:jc w:val="center"/>
        <w:rPr>
          <w:rFonts w:ascii="Arial" w:hAnsi="Arial" w:cs="Arial"/>
          <w:b/>
          <w:bCs/>
          <w:sz w:val="24"/>
          <w:szCs w:val="24"/>
        </w:rPr>
        <w:sectPr w:rsidR="000F3BDE" w:rsidRPr="000F3BDE">
          <w:headerReference w:type="default" r:id="rId9"/>
          <w:pgSz w:w="12240" w:h="15840"/>
          <w:pgMar w:top="1417" w:right="1701" w:bottom="1417" w:left="1701" w:header="708" w:footer="708" w:gutter="0"/>
          <w:cols w:space="708"/>
          <w:docGrid w:linePitch="360"/>
        </w:sectPr>
      </w:pPr>
    </w:p>
    <w:p w14:paraId="5139E711" w14:textId="19B66203" w:rsidR="00020225" w:rsidRPr="00020225" w:rsidRDefault="00D04DA7" w:rsidP="00020225">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35625DD4" w14:textId="77777777" w:rsidR="00020225" w:rsidRDefault="00020225" w:rsidP="00020225">
      <w:pPr>
        <w:spacing w:line="276" w:lineRule="auto"/>
        <w:jc w:val="both"/>
        <w:rPr>
          <w:rFonts w:ascii="Arial" w:hAnsi="Arial" w:cs="Arial"/>
          <w:b/>
          <w:bCs/>
        </w:rPr>
      </w:pPr>
      <w:r w:rsidRPr="00020225">
        <w:rPr>
          <w:rFonts w:ascii="Arial" w:hAnsi="Arial" w:cs="Arial"/>
          <w:b/>
          <w:bCs/>
        </w:rPr>
        <w:t>1.-Menciona brevemente cuál es la importancia de las mitocondrias dentro de las células.</w:t>
      </w:r>
    </w:p>
    <w:p w14:paraId="0E640187" w14:textId="77777777" w:rsidR="00020225" w:rsidRDefault="00020225" w:rsidP="00020225">
      <w:pPr>
        <w:spacing w:line="276" w:lineRule="auto"/>
        <w:jc w:val="both"/>
        <w:rPr>
          <w:rFonts w:ascii="Arial" w:hAnsi="Arial" w:cs="Arial"/>
        </w:rPr>
      </w:pPr>
      <w:r w:rsidRPr="00020225">
        <w:rPr>
          <w:rFonts w:ascii="Arial" w:hAnsi="Arial" w:cs="Arial"/>
        </w:rPr>
        <w:t>Las mitocondrias son organelos celulares cruciales debido a su papel en la producción de energía. Son conocidas como las "centrales de energía" de la célula, ya que llevan a cabo la respiración celular, un proceso en el que se generan adenosín trifosfato (ATP), la principal fuente de energía utilizada por las células para llevar a cabo sus funciones. Además de la producción de ATP, las mitocondrias también desempeñan un papel importante en la regulación del metabolismo y la apoptosis (muerte celular programada), lo que hace que sean esenciales para el funcionamiento adecuado de casi todos los tipos de células en el cuerpo.</w:t>
      </w:r>
    </w:p>
    <w:p w14:paraId="5B2C5386" w14:textId="57B5C99F" w:rsidR="000F3BDE" w:rsidRDefault="000F3BDE" w:rsidP="000F3BDE">
      <w:pPr>
        <w:spacing w:line="276" w:lineRule="auto"/>
        <w:jc w:val="center"/>
        <w:rPr>
          <w:rFonts w:ascii="Arial" w:hAnsi="Arial" w:cs="Arial"/>
        </w:rPr>
        <w:sectPr w:rsidR="000F3BDE" w:rsidSect="000F3BDE">
          <w:pgSz w:w="15840" w:h="12240" w:orient="landscape"/>
          <w:pgMar w:top="1701" w:right="1418" w:bottom="1701" w:left="1418" w:header="709" w:footer="709" w:gutter="0"/>
          <w:cols w:space="708"/>
          <w:docGrid w:linePitch="360"/>
        </w:sectPr>
      </w:pPr>
      <w:r>
        <w:rPr>
          <w:noProof/>
        </w:rPr>
        <w:drawing>
          <wp:inline distT="0" distB="0" distL="0" distR="0" wp14:anchorId="75FCC3E9" wp14:editId="6901E299">
            <wp:extent cx="7081736" cy="3981574"/>
            <wp:effectExtent l="0" t="0" r="5080" b="0"/>
            <wp:docPr id="927604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6517" cy="3995506"/>
                    </a:xfrm>
                    <a:prstGeom prst="rect">
                      <a:avLst/>
                    </a:prstGeom>
                    <a:noFill/>
                    <a:ln>
                      <a:noFill/>
                    </a:ln>
                  </pic:spPr>
                </pic:pic>
              </a:graphicData>
            </a:graphic>
          </wp:inline>
        </w:drawing>
      </w:r>
    </w:p>
    <w:p w14:paraId="763E29C8" w14:textId="4116D2B3" w:rsidR="000F3BDE" w:rsidRDefault="000F3BDE" w:rsidP="00020225">
      <w:pPr>
        <w:spacing w:line="276" w:lineRule="auto"/>
        <w:jc w:val="both"/>
        <w:rPr>
          <w:rFonts w:ascii="Arial" w:hAnsi="Arial" w:cs="Arial"/>
        </w:rPr>
        <w:sectPr w:rsidR="000F3BDE" w:rsidSect="000F3BDE">
          <w:pgSz w:w="15840" w:h="12240" w:orient="landscape"/>
          <w:pgMar w:top="1701" w:right="1417" w:bottom="1701" w:left="1417" w:header="708" w:footer="708" w:gutter="0"/>
          <w:cols w:space="708"/>
          <w:docGrid w:linePitch="360"/>
        </w:sectPr>
      </w:pPr>
      <w:r>
        <w:rPr>
          <w:rFonts w:ascii="Arial" w:hAnsi="Arial" w:cs="Arial"/>
          <w:noProof/>
        </w:rPr>
        <w:lastRenderedPageBreak/>
        <w:drawing>
          <wp:inline distT="0" distB="0" distL="0" distR="0" wp14:anchorId="239DF6CB" wp14:editId="3862459F">
            <wp:extent cx="8258810" cy="4644646"/>
            <wp:effectExtent l="0" t="0" r="8890" b="3810"/>
            <wp:docPr id="20260065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8810" cy="4644646"/>
                    </a:xfrm>
                    <a:prstGeom prst="rect">
                      <a:avLst/>
                    </a:prstGeom>
                    <a:noFill/>
                  </pic:spPr>
                </pic:pic>
              </a:graphicData>
            </a:graphic>
          </wp:inline>
        </w:drawing>
      </w:r>
    </w:p>
    <w:p w14:paraId="2139C518" w14:textId="77777777" w:rsidR="000F3BDE" w:rsidRPr="000F3BDE" w:rsidRDefault="000F3BDE" w:rsidP="000F3BDE">
      <w:pPr>
        <w:spacing w:line="276" w:lineRule="auto"/>
        <w:jc w:val="both"/>
        <w:rPr>
          <w:rFonts w:ascii="Arial" w:hAnsi="Arial" w:cs="Arial"/>
        </w:rPr>
      </w:pPr>
      <w:r w:rsidRPr="000F3BDE">
        <w:rPr>
          <w:rFonts w:ascii="Arial" w:hAnsi="Arial" w:cs="Arial"/>
        </w:rPr>
        <w:lastRenderedPageBreak/>
        <w:t>La cantidad y la eficiencia de las mitocondrias en las células desempeñan un papel fundamental en la salud y el rendimiento de diversos tejidos y órganos en el cuerpo humano. A continuación, se analizará cómo se comporta el sistema mitocondrial en diferentes tipos de células en dos situaciones contrastantes: una persona sedentaria y fumadora frente a una persona atlética y sana.</w:t>
      </w:r>
    </w:p>
    <w:p w14:paraId="404AFA91" w14:textId="77777777" w:rsidR="000F3BDE" w:rsidRPr="000F3BDE" w:rsidRDefault="000F3BDE" w:rsidP="000F3BDE">
      <w:pPr>
        <w:spacing w:line="276" w:lineRule="auto"/>
        <w:jc w:val="both"/>
        <w:rPr>
          <w:rFonts w:ascii="Arial" w:hAnsi="Arial" w:cs="Arial"/>
          <w:b/>
          <w:bCs/>
        </w:rPr>
      </w:pPr>
      <w:r w:rsidRPr="000F3BDE">
        <w:rPr>
          <w:rFonts w:ascii="Arial" w:hAnsi="Arial" w:cs="Arial"/>
          <w:b/>
          <w:bCs/>
        </w:rPr>
        <w:t>Situación 1: Persona Sedentaria y Fumadora</w:t>
      </w:r>
    </w:p>
    <w:p w14:paraId="177B6625" w14:textId="0CC49986" w:rsidR="000F3BDE" w:rsidRPr="000F3BDE" w:rsidRDefault="000F3BDE" w:rsidP="000F3BDE">
      <w:pPr>
        <w:spacing w:line="276" w:lineRule="auto"/>
        <w:jc w:val="both"/>
        <w:rPr>
          <w:rFonts w:ascii="Arial" w:hAnsi="Arial" w:cs="Arial"/>
        </w:rPr>
      </w:pPr>
      <w:r w:rsidRPr="000F3BDE">
        <w:rPr>
          <w:rFonts w:ascii="Arial" w:hAnsi="Arial" w:cs="Arial"/>
        </w:rPr>
        <w:t xml:space="preserve">En una persona sedentaria y fumadora, la cantidad de mitocondrias y su eficiencia pueden verse significativamente afectadas debido a una combinación de factores negativos. Empezando por las células de músculo esquelético, la falta de actividad física reduce la demanda energética, lo que puede llevar a una disminución en la densidad mitocondrial. La consecuencia directa de esto es una menor producción de ATP, lo que se traduce en fatiga rápida durante la </w:t>
      </w:r>
      <w:r w:rsidRPr="000F3BDE">
        <w:rPr>
          <w:rFonts w:ascii="Arial" w:hAnsi="Arial" w:cs="Arial"/>
        </w:rPr>
        <w:t>actividad y un rendimiento físicos</w:t>
      </w:r>
      <w:r w:rsidRPr="000F3BDE">
        <w:rPr>
          <w:rFonts w:ascii="Arial" w:hAnsi="Arial" w:cs="Arial"/>
        </w:rPr>
        <w:t xml:space="preserve"> reducido.</w:t>
      </w:r>
    </w:p>
    <w:p w14:paraId="740A4845" w14:textId="77777777" w:rsidR="000F3BDE" w:rsidRPr="000F3BDE" w:rsidRDefault="000F3BDE" w:rsidP="000F3BDE">
      <w:pPr>
        <w:spacing w:line="276" w:lineRule="auto"/>
        <w:jc w:val="both"/>
        <w:rPr>
          <w:rFonts w:ascii="Arial" w:hAnsi="Arial" w:cs="Arial"/>
        </w:rPr>
      </w:pPr>
      <w:r w:rsidRPr="000F3BDE">
        <w:rPr>
          <w:rFonts w:ascii="Arial" w:hAnsi="Arial" w:cs="Arial"/>
        </w:rPr>
        <w:t>En el caso de las células de músculo cardíaco, el tabaquismo ejerce un impacto negativo adicional. Los componentes tóxicos del humo del cigarrillo pueden dañar las mitocondrias, afectando la producción de energía y aumentando el riesgo de enfermedades cardiovasculares.</w:t>
      </w:r>
    </w:p>
    <w:p w14:paraId="49836D10" w14:textId="77777777" w:rsidR="000F3BDE" w:rsidRPr="000F3BDE" w:rsidRDefault="000F3BDE" w:rsidP="000F3BDE">
      <w:pPr>
        <w:spacing w:line="276" w:lineRule="auto"/>
        <w:jc w:val="both"/>
        <w:rPr>
          <w:rFonts w:ascii="Arial" w:hAnsi="Arial" w:cs="Arial"/>
        </w:rPr>
      </w:pPr>
      <w:r w:rsidRPr="000F3BDE">
        <w:rPr>
          <w:rFonts w:ascii="Arial" w:hAnsi="Arial" w:cs="Arial"/>
        </w:rPr>
        <w:t>Por otro lado, las células del riñón, hígado y páncreas también se ven afectadas por el hábito de fumar. Los radicales libres y las sustancias tóxicas presentes en el humo del cigarrillo pueden inducir daño oxidativo en estas células, lo que compromete su función metabólica y de detoxificación. Además, el sedentarismo contribuye a la acumulación de grasa en el hígado, lo que empeora su funcionamiento y agrava las consecuencias negativas sobre las mitocondrias.</w:t>
      </w:r>
    </w:p>
    <w:p w14:paraId="51FBCB2A" w14:textId="77777777" w:rsidR="000F3BDE" w:rsidRPr="000F3BDE" w:rsidRDefault="000F3BDE" w:rsidP="000F3BDE">
      <w:pPr>
        <w:spacing w:line="276" w:lineRule="auto"/>
        <w:jc w:val="both"/>
        <w:rPr>
          <w:rFonts w:ascii="Arial" w:hAnsi="Arial" w:cs="Arial"/>
        </w:rPr>
      </w:pPr>
      <w:r w:rsidRPr="000F3BDE">
        <w:rPr>
          <w:rFonts w:ascii="Arial" w:hAnsi="Arial" w:cs="Arial"/>
        </w:rPr>
        <w:t>En cuanto a las células del sistema nervioso central, la falta de ejercicio y el tabaquismo pueden disminuir la densidad mitocondrial y afectar la función cerebral. Esto puede manifestarse en problemas cognitivos, memoria deficiente y una menor capacidad de concentración.</w:t>
      </w:r>
    </w:p>
    <w:p w14:paraId="43ADE79E" w14:textId="77777777" w:rsidR="000F3BDE" w:rsidRPr="000F3BDE" w:rsidRDefault="000F3BDE" w:rsidP="000F3BDE">
      <w:pPr>
        <w:spacing w:line="276" w:lineRule="auto"/>
        <w:jc w:val="both"/>
        <w:rPr>
          <w:rFonts w:ascii="Arial" w:hAnsi="Arial" w:cs="Arial"/>
          <w:b/>
          <w:bCs/>
        </w:rPr>
      </w:pPr>
      <w:r w:rsidRPr="000F3BDE">
        <w:rPr>
          <w:rFonts w:ascii="Arial" w:hAnsi="Arial" w:cs="Arial"/>
          <w:b/>
          <w:bCs/>
        </w:rPr>
        <w:t>Situación 2: Persona Atlética y Sana</w:t>
      </w:r>
    </w:p>
    <w:p w14:paraId="019B7EAE" w14:textId="77777777" w:rsidR="000F3BDE" w:rsidRPr="000F3BDE" w:rsidRDefault="000F3BDE" w:rsidP="000F3BDE">
      <w:pPr>
        <w:spacing w:line="276" w:lineRule="auto"/>
        <w:jc w:val="both"/>
        <w:rPr>
          <w:rFonts w:ascii="Arial" w:hAnsi="Arial" w:cs="Arial"/>
        </w:rPr>
      </w:pPr>
      <w:r w:rsidRPr="000F3BDE">
        <w:rPr>
          <w:rFonts w:ascii="Arial" w:hAnsi="Arial" w:cs="Arial"/>
        </w:rPr>
        <w:t>En contraste, una persona atlética y sana tiende a tener mitocondrias más saludables y numerosas en una variedad de células. Esto se debe al efecto positivo del ejercicio regular y a un estilo de vida saludable en general. Las células de músculo esquelético, sometidas a una alta demanda energética durante la actividad física, responden aumentando la cantidad de mitocondrias. Estas mitocondrias son altamente eficientes en la producción de ATP, lo que proporciona una fuente de energía constante y sostenible.</w:t>
      </w:r>
    </w:p>
    <w:p w14:paraId="45578A5D" w14:textId="77777777" w:rsidR="000F3BDE" w:rsidRPr="000F3BDE" w:rsidRDefault="000F3BDE" w:rsidP="000F3BDE">
      <w:pPr>
        <w:spacing w:line="276" w:lineRule="auto"/>
        <w:jc w:val="both"/>
        <w:rPr>
          <w:rFonts w:ascii="Arial" w:hAnsi="Arial" w:cs="Arial"/>
        </w:rPr>
      </w:pPr>
      <w:r w:rsidRPr="000F3BDE">
        <w:rPr>
          <w:rFonts w:ascii="Arial" w:hAnsi="Arial" w:cs="Arial"/>
        </w:rPr>
        <w:t>Las células de músculo cardíaco también se benefician del estilo de vida activo. Las mitocondrias en el corazón son más numerosas y funcionan eficazmente, lo que se traduce en un corazón más saludable y un menor riesgo de enfermedades cardiovasculares.</w:t>
      </w:r>
    </w:p>
    <w:p w14:paraId="4A63F19F" w14:textId="77777777" w:rsidR="000F3BDE" w:rsidRPr="000F3BDE" w:rsidRDefault="000F3BDE" w:rsidP="000F3BDE">
      <w:pPr>
        <w:spacing w:line="276" w:lineRule="auto"/>
        <w:jc w:val="both"/>
        <w:rPr>
          <w:rFonts w:ascii="Arial" w:hAnsi="Arial" w:cs="Arial"/>
        </w:rPr>
      </w:pPr>
      <w:r w:rsidRPr="000F3BDE">
        <w:rPr>
          <w:rFonts w:ascii="Arial" w:hAnsi="Arial" w:cs="Arial"/>
        </w:rPr>
        <w:t xml:space="preserve">En el caso de las células del riñón, hígado y páncreas, el estilo de vida saludable reduce la exposición a toxinas y radicales libres, lo que mantiene las mitocondrias en mejor estado. </w:t>
      </w:r>
      <w:r w:rsidRPr="000F3BDE">
        <w:rPr>
          <w:rFonts w:ascii="Arial" w:hAnsi="Arial" w:cs="Arial"/>
        </w:rPr>
        <w:lastRenderedPageBreak/>
        <w:t>Como resultado, estas células son capaces de metabolizar nutrientes y realizar funciones de detoxificación de manera más eficiente.</w:t>
      </w:r>
    </w:p>
    <w:p w14:paraId="77392BE9" w14:textId="77777777" w:rsidR="000F3BDE" w:rsidRPr="000F3BDE" w:rsidRDefault="000F3BDE" w:rsidP="000F3BDE">
      <w:pPr>
        <w:spacing w:line="276" w:lineRule="auto"/>
        <w:jc w:val="both"/>
        <w:rPr>
          <w:rFonts w:ascii="Arial" w:hAnsi="Arial" w:cs="Arial"/>
        </w:rPr>
      </w:pPr>
      <w:r w:rsidRPr="000F3BDE">
        <w:rPr>
          <w:rFonts w:ascii="Arial" w:hAnsi="Arial" w:cs="Arial"/>
        </w:rPr>
        <w:t>En cuanto a las células del sistema nervioso central, las mitocondrias saludables mantienen la función cerebral óptima, lo que se traduce en una mayor claridad mental, memoria y concentración.</w:t>
      </w:r>
    </w:p>
    <w:p w14:paraId="681CF119" w14:textId="77777777" w:rsidR="000F3BDE" w:rsidRDefault="000F3BDE" w:rsidP="00020225">
      <w:pPr>
        <w:spacing w:line="276" w:lineRule="auto"/>
        <w:jc w:val="both"/>
        <w:rPr>
          <w:rFonts w:ascii="Arial" w:hAnsi="Arial" w:cs="Arial"/>
        </w:rPr>
      </w:pPr>
    </w:p>
    <w:p w14:paraId="6DCD7C8E" w14:textId="77777777" w:rsidR="000F3BDE" w:rsidRDefault="000F3BDE" w:rsidP="00020225">
      <w:pPr>
        <w:spacing w:line="276" w:lineRule="auto"/>
        <w:jc w:val="both"/>
        <w:rPr>
          <w:rFonts w:ascii="Arial" w:hAnsi="Arial" w:cs="Arial"/>
        </w:rPr>
      </w:pPr>
    </w:p>
    <w:p w14:paraId="7C16BD9C" w14:textId="77777777" w:rsidR="000F3BDE" w:rsidRDefault="000F3BDE" w:rsidP="00020225">
      <w:pPr>
        <w:spacing w:line="276" w:lineRule="auto"/>
        <w:jc w:val="both"/>
        <w:rPr>
          <w:rFonts w:ascii="Arial" w:hAnsi="Arial" w:cs="Arial"/>
        </w:rPr>
      </w:pPr>
    </w:p>
    <w:p w14:paraId="168D3932" w14:textId="77777777" w:rsidR="000F3BDE" w:rsidRDefault="000F3BDE" w:rsidP="00020225">
      <w:pPr>
        <w:spacing w:line="276" w:lineRule="auto"/>
        <w:jc w:val="both"/>
        <w:rPr>
          <w:rFonts w:ascii="Arial" w:hAnsi="Arial" w:cs="Arial"/>
        </w:rPr>
      </w:pPr>
    </w:p>
    <w:p w14:paraId="71BA7C19" w14:textId="77777777" w:rsidR="000F3BDE" w:rsidRPr="00020225" w:rsidRDefault="000F3BDE" w:rsidP="00020225">
      <w:pPr>
        <w:spacing w:line="276" w:lineRule="auto"/>
        <w:jc w:val="both"/>
        <w:rPr>
          <w:rFonts w:ascii="Arial" w:hAnsi="Arial" w:cs="Arial"/>
        </w:rPr>
      </w:pPr>
    </w:p>
    <w:p w14:paraId="1791B983" w14:textId="77777777" w:rsidR="00D04DA7" w:rsidRPr="00020225" w:rsidRDefault="00D04DA7" w:rsidP="00020225">
      <w:pPr>
        <w:spacing w:line="276" w:lineRule="auto"/>
        <w:jc w:val="both"/>
        <w:rPr>
          <w:rFonts w:ascii="Arial" w:hAnsi="Arial" w:cs="Arial"/>
        </w:rPr>
      </w:pPr>
    </w:p>
    <w:p w14:paraId="4C868C76" w14:textId="77777777" w:rsidR="00D04DA7" w:rsidRPr="00C569EB" w:rsidRDefault="00D04DA7" w:rsidP="00D04DA7">
      <w:pPr>
        <w:rPr>
          <w:rFonts w:ascii="Arial" w:hAnsi="Arial" w:cs="Arial"/>
        </w:rPr>
      </w:pPr>
    </w:p>
    <w:p w14:paraId="60C77BB5" w14:textId="77777777" w:rsidR="00D04DA7" w:rsidRPr="00C569EB" w:rsidRDefault="00D04DA7" w:rsidP="00D04DA7">
      <w:pPr>
        <w:rPr>
          <w:rFonts w:ascii="Arial" w:hAnsi="Arial" w:cs="Arial"/>
        </w:rPr>
      </w:pPr>
    </w:p>
    <w:p w14:paraId="5FE1BDB9" w14:textId="77777777" w:rsidR="00D04DA7" w:rsidRPr="00C569EB" w:rsidRDefault="00D04DA7" w:rsidP="00D04DA7">
      <w:pPr>
        <w:rPr>
          <w:rFonts w:ascii="Arial" w:hAnsi="Arial" w:cs="Arial"/>
        </w:rPr>
      </w:pPr>
    </w:p>
    <w:p w14:paraId="72383C6B" w14:textId="77777777" w:rsidR="00D04DA7" w:rsidRPr="00C569EB" w:rsidRDefault="00D04DA7" w:rsidP="00D04DA7">
      <w:pPr>
        <w:rPr>
          <w:rFonts w:ascii="Arial" w:hAnsi="Arial" w:cs="Arial"/>
        </w:rPr>
      </w:pPr>
    </w:p>
    <w:p w14:paraId="7272C962" w14:textId="77777777" w:rsidR="00D04DA7" w:rsidRPr="00C569EB" w:rsidRDefault="00D04DA7" w:rsidP="00D04DA7">
      <w:pPr>
        <w:rPr>
          <w:rFonts w:ascii="Arial" w:hAnsi="Arial" w:cs="Arial"/>
        </w:rPr>
      </w:pPr>
    </w:p>
    <w:p w14:paraId="38A49FD3" w14:textId="77777777" w:rsidR="00D04DA7" w:rsidRPr="00C569EB" w:rsidRDefault="00D04DA7" w:rsidP="00D04DA7">
      <w:pPr>
        <w:rPr>
          <w:rFonts w:ascii="Arial" w:hAnsi="Arial" w:cs="Arial"/>
        </w:rPr>
      </w:pPr>
    </w:p>
    <w:p w14:paraId="1E9438CC" w14:textId="77777777" w:rsidR="00D04DA7" w:rsidRPr="00C569EB" w:rsidRDefault="00D04DA7" w:rsidP="00D04DA7">
      <w:pPr>
        <w:rPr>
          <w:rFonts w:ascii="Arial" w:hAnsi="Arial" w:cs="Arial"/>
        </w:rPr>
      </w:pPr>
    </w:p>
    <w:p w14:paraId="3753A71A" w14:textId="77777777" w:rsidR="00D04DA7" w:rsidRPr="00C569EB" w:rsidRDefault="00D04DA7" w:rsidP="00D04DA7">
      <w:pPr>
        <w:rPr>
          <w:rFonts w:ascii="Arial" w:hAnsi="Arial" w:cs="Arial"/>
        </w:rPr>
      </w:pPr>
    </w:p>
    <w:p w14:paraId="1F3E64BE" w14:textId="77777777" w:rsidR="00D04DA7" w:rsidRPr="00C569EB" w:rsidRDefault="00D04DA7" w:rsidP="00D04DA7">
      <w:pPr>
        <w:rPr>
          <w:rFonts w:ascii="Arial" w:hAnsi="Arial" w:cs="Arial"/>
        </w:rPr>
      </w:pPr>
    </w:p>
    <w:p w14:paraId="37AB8DC3" w14:textId="77777777" w:rsidR="00D04DA7" w:rsidRPr="00C569EB" w:rsidRDefault="00D04DA7" w:rsidP="00D04DA7">
      <w:pPr>
        <w:rPr>
          <w:rFonts w:ascii="Arial" w:hAnsi="Arial" w:cs="Arial"/>
        </w:rPr>
      </w:pPr>
    </w:p>
    <w:p w14:paraId="4B6A4948" w14:textId="77777777" w:rsidR="00D04DA7" w:rsidRPr="00C569EB" w:rsidRDefault="00D04DA7" w:rsidP="00D04DA7">
      <w:pPr>
        <w:rPr>
          <w:rFonts w:ascii="Arial" w:hAnsi="Arial" w:cs="Arial"/>
        </w:rPr>
      </w:pPr>
    </w:p>
    <w:p w14:paraId="478A2805" w14:textId="77777777" w:rsidR="00D04DA7" w:rsidRPr="00C569EB" w:rsidRDefault="00D04DA7" w:rsidP="00D04DA7">
      <w:pPr>
        <w:rPr>
          <w:rFonts w:ascii="Arial" w:hAnsi="Arial" w:cs="Arial"/>
        </w:rPr>
      </w:pPr>
    </w:p>
    <w:p w14:paraId="1A2E31FE" w14:textId="77777777" w:rsidR="00D04DA7" w:rsidRPr="00C569EB" w:rsidRDefault="00D04DA7" w:rsidP="00D04DA7">
      <w:pPr>
        <w:rPr>
          <w:rFonts w:ascii="Arial" w:hAnsi="Arial" w:cs="Arial"/>
        </w:rPr>
      </w:pPr>
    </w:p>
    <w:p w14:paraId="79409F82" w14:textId="77777777" w:rsidR="00D04DA7" w:rsidRPr="00C569EB" w:rsidRDefault="00D04DA7" w:rsidP="00D04DA7">
      <w:pPr>
        <w:rPr>
          <w:rFonts w:ascii="Arial" w:hAnsi="Arial" w:cs="Arial"/>
        </w:rPr>
      </w:pPr>
    </w:p>
    <w:p w14:paraId="3F342DF2" w14:textId="77777777" w:rsidR="00D04DA7" w:rsidRPr="00C569EB" w:rsidRDefault="00D04DA7" w:rsidP="00D04DA7">
      <w:pPr>
        <w:rPr>
          <w:rFonts w:ascii="Arial" w:hAnsi="Arial" w:cs="Arial"/>
        </w:rPr>
      </w:pPr>
    </w:p>
    <w:p w14:paraId="4FD37029" w14:textId="77777777" w:rsidR="00D04DA7" w:rsidRPr="00C569EB" w:rsidRDefault="00D04DA7" w:rsidP="00D04DA7">
      <w:pPr>
        <w:rPr>
          <w:rFonts w:ascii="Arial" w:hAnsi="Arial" w:cs="Arial"/>
        </w:rPr>
      </w:pPr>
    </w:p>
    <w:p w14:paraId="7D82A72A" w14:textId="77777777" w:rsidR="00D04DA7" w:rsidRPr="00C569EB" w:rsidRDefault="00D04DA7" w:rsidP="00D04DA7">
      <w:pPr>
        <w:rPr>
          <w:rFonts w:ascii="Arial" w:hAnsi="Arial" w:cs="Arial"/>
        </w:rPr>
      </w:pPr>
    </w:p>
    <w:p w14:paraId="1853E109" w14:textId="77777777" w:rsidR="00D04DA7" w:rsidRPr="00C569EB" w:rsidRDefault="00D04DA7" w:rsidP="00D04DA7">
      <w:pPr>
        <w:rPr>
          <w:rFonts w:ascii="Arial" w:hAnsi="Arial" w:cs="Arial"/>
        </w:rPr>
      </w:pPr>
    </w:p>
    <w:p w14:paraId="64ECC399" w14:textId="77777777" w:rsidR="00D04DA7" w:rsidRPr="00C569EB" w:rsidRDefault="00D04DA7" w:rsidP="00D04DA7">
      <w:pPr>
        <w:rPr>
          <w:rFonts w:ascii="Arial" w:hAnsi="Arial" w:cs="Arial"/>
        </w:rPr>
      </w:pPr>
    </w:p>
    <w:p w14:paraId="759EFA0C" w14:textId="77777777" w:rsidR="006A209D" w:rsidRPr="00C569EB" w:rsidRDefault="006A209D" w:rsidP="00D04DA7">
      <w:pPr>
        <w:rPr>
          <w:rFonts w:ascii="Arial" w:hAnsi="Arial" w:cs="Arial"/>
        </w:rPr>
      </w:pPr>
    </w:p>
    <w:p w14:paraId="1ECB9094"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CONCLUSIONES</w:t>
      </w:r>
    </w:p>
    <w:p w14:paraId="1FE8F4AF" w14:textId="77777777" w:rsidR="003174CA" w:rsidRPr="003174CA" w:rsidRDefault="003174CA" w:rsidP="003174CA">
      <w:pPr>
        <w:spacing w:line="276" w:lineRule="auto"/>
        <w:jc w:val="both"/>
        <w:rPr>
          <w:rFonts w:ascii="Arial" w:hAnsi="Arial" w:cs="Arial"/>
        </w:rPr>
      </w:pPr>
      <w:r w:rsidRPr="003174CA">
        <w:rPr>
          <w:rFonts w:ascii="Arial" w:hAnsi="Arial" w:cs="Arial"/>
        </w:rPr>
        <w:t>las mitocondrias son esenciales para el funcionamiento celular y la producción de energía en el cuerpo humano. La cantidad y eficiencia de estas organelas varían en diferentes tipos de células y están fuertemente influenciadas por el estilo de vida. Como hemos analizado, una persona sedentaria y fumadora tiende a experimentar una disminución en la cantidad y eficiencia de las mitocondrias en una variedad de células, lo que puede resultar en una menor producción de energía y una mayor susceptibilidad a enfermedades. Por otro lado, una persona atlética y sana tiende a mantener mitocondrias saludables y numerosas, lo que se traduce en un rendimiento celular óptimo.</w:t>
      </w:r>
    </w:p>
    <w:p w14:paraId="46FFB23E" w14:textId="77777777" w:rsidR="003174CA" w:rsidRPr="003174CA" w:rsidRDefault="003174CA" w:rsidP="003174CA">
      <w:pPr>
        <w:spacing w:line="276" w:lineRule="auto"/>
        <w:jc w:val="both"/>
        <w:rPr>
          <w:rFonts w:ascii="Arial" w:hAnsi="Arial" w:cs="Arial"/>
        </w:rPr>
      </w:pPr>
      <w:r w:rsidRPr="003174CA">
        <w:rPr>
          <w:rFonts w:ascii="Arial" w:hAnsi="Arial" w:cs="Arial"/>
        </w:rPr>
        <w:t>Este contraste subraya la importancia de adoptar un estilo de vida activo y saludable para mantener la salud celular y el bienestar general. El ejercicio regular y la abstención del tabaco son factores clave que pueden preservar la función mitocondrial y, por lo tanto, contribuir a una vida más saludable y activa. Entender esta dinámica mitocondrial en diferentes contextos nos recuerda que nuestras elecciones de estilo de vida tienen un impacto directo en la salud y la energía de nuestras células, lo que, a su vez, influye en nuestro bienestar general.</w:t>
      </w:r>
    </w:p>
    <w:p w14:paraId="02763F1B" w14:textId="77777777" w:rsidR="00D04DA7" w:rsidRPr="003174CA" w:rsidRDefault="00D04DA7" w:rsidP="003174CA">
      <w:pPr>
        <w:spacing w:line="276" w:lineRule="auto"/>
        <w:jc w:val="both"/>
        <w:rPr>
          <w:rFonts w:ascii="Arial" w:hAnsi="Arial" w:cs="Arial"/>
        </w:rPr>
      </w:pPr>
    </w:p>
    <w:p w14:paraId="0D5FB146" w14:textId="77777777" w:rsidR="00D04DA7" w:rsidRPr="003174CA" w:rsidRDefault="00D04DA7" w:rsidP="003174CA">
      <w:pPr>
        <w:spacing w:line="276" w:lineRule="auto"/>
        <w:jc w:val="both"/>
        <w:rPr>
          <w:rFonts w:ascii="Arial" w:hAnsi="Arial" w:cs="Arial"/>
        </w:rPr>
      </w:pPr>
    </w:p>
    <w:p w14:paraId="2B208255" w14:textId="77777777" w:rsidR="00D04DA7" w:rsidRPr="003174CA" w:rsidRDefault="00D04DA7" w:rsidP="003174CA">
      <w:pPr>
        <w:spacing w:line="276" w:lineRule="auto"/>
        <w:jc w:val="both"/>
        <w:rPr>
          <w:rFonts w:ascii="Arial" w:hAnsi="Arial" w:cs="Arial"/>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79E1C277" w14:textId="77777777" w:rsidR="00D04DA7" w:rsidRPr="00C569EB" w:rsidRDefault="00D04DA7" w:rsidP="00D04DA7">
      <w:pPr>
        <w:jc w:val="center"/>
        <w:rPr>
          <w:rFonts w:ascii="Arial" w:hAnsi="Arial" w:cs="Arial"/>
          <w:b/>
          <w:bCs/>
          <w:sz w:val="24"/>
          <w:szCs w:val="24"/>
        </w:rPr>
      </w:pPr>
    </w:p>
    <w:p w14:paraId="64EE5B45" w14:textId="77777777" w:rsidR="00D04DA7" w:rsidRPr="00C569EB" w:rsidRDefault="00D04DA7" w:rsidP="00D04DA7">
      <w:pPr>
        <w:jc w:val="center"/>
        <w:rPr>
          <w:rFonts w:ascii="Arial" w:hAnsi="Arial" w:cs="Arial"/>
          <w:b/>
          <w:bCs/>
          <w:sz w:val="24"/>
          <w:szCs w:val="24"/>
        </w:rPr>
      </w:pPr>
    </w:p>
    <w:p w14:paraId="273052A4" w14:textId="77777777" w:rsidR="00D04DA7" w:rsidRPr="00C569EB" w:rsidRDefault="00D04DA7" w:rsidP="00D04DA7">
      <w:pPr>
        <w:jc w:val="center"/>
        <w:rPr>
          <w:rFonts w:ascii="Arial" w:hAnsi="Arial" w:cs="Arial"/>
          <w:b/>
          <w:bCs/>
          <w:sz w:val="24"/>
          <w:szCs w:val="24"/>
        </w:rPr>
      </w:pPr>
    </w:p>
    <w:p w14:paraId="03DF18A0" w14:textId="77777777" w:rsidR="00D04DA7" w:rsidRPr="00C569EB" w:rsidRDefault="00D04DA7" w:rsidP="00D04DA7">
      <w:pPr>
        <w:jc w:val="center"/>
        <w:rPr>
          <w:rFonts w:ascii="Arial" w:hAnsi="Arial" w:cs="Arial"/>
          <w:b/>
          <w:bCs/>
          <w:sz w:val="24"/>
          <w:szCs w:val="24"/>
        </w:rPr>
      </w:pPr>
    </w:p>
    <w:p w14:paraId="20C06AB3" w14:textId="77777777" w:rsidR="00D04DA7" w:rsidRPr="00C569EB" w:rsidRDefault="00D04DA7" w:rsidP="00D04DA7">
      <w:pPr>
        <w:jc w:val="center"/>
        <w:rPr>
          <w:rFonts w:ascii="Arial" w:hAnsi="Arial" w:cs="Arial"/>
          <w:b/>
          <w:bCs/>
          <w:sz w:val="24"/>
          <w:szCs w:val="24"/>
        </w:rPr>
      </w:pPr>
    </w:p>
    <w:p w14:paraId="5DECE236" w14:textId="77777777" w:rsidR="00D04DA7" w:rsidRDefault="00D04DA7" w:rsidP="003174CA">
      <w:pPr>
        <w:rPr>
          <w:rFonts w:ascii="Arial" w:hAnsi="Arial" w:cs="Arial"/>
          <w:b/>
          <w:bCs/>
          <w:sz w:val="24"/>
          <w:szCs w:val="24"/>
        </w:rPr>
      </w:pPr>
    </w:p>
    <w:p w14:paraId="663D6140" w14:textId="77777777" w:rsidR="003174CA" w:rsidRPr="00C569EB" w:rsidRDefault="003174CA" w:rsidP="003174CA">
      <w:pPr>
        <w:rPr>
          <w:rFonts w:ascii="Arial" w:hAnsi="Arial" w:cs="Arial"/>
          <w:b/>
          <w:bCs/>
          <w:sz w:val="24"/>
          <w:szCs w:val="24"/>
        </w:rPr>
      </w:pPr>
    </w:p>
    <w:p w14:paraId="5042B78D" w14:textId="77777777" w:rsidR="00D04DA7" w:rsidRPr="00C569EB" w:rsidRDefault="00D04DA7" w:rsidP="00D04DA7">
      <w:pPr>
        <w:jc w:val="center"/>
        <w:rPr>
          <w:rFonts w:ascii="Arial" w:hAnsi="Arial" w:cs="Arial"/>
          <w:b/>
          <w:bCs/>
          <w:sz w:val="24"/>
          <w:szCs w:val="24"/>
        </w:rPr>
      </w:pPr>
    </w:p>
    <w:p w14:paraId="2A887850"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FUENTES DE CONSULTA</w:t>
      </w:r>
    </w:p>
    <w:p w14:paraId="79C50ECB" w14:textId="6FCDAB13" w:rsidR="00AE2224" w:rsidRDefault="00AE2224" w:rsidP="00AE2224">
      <w:pPr>
        <w:spacing w:line="276" w:lineRule="auto"/>
        <w:jc w:val="both"/>
        <w:rPr>
          <w:rFonts w:ascii="Arial" w:hAnsi="Arial" w:cs="Arial"/>
        </w:rPr>
      </w:pPr>
      <w:r w:rsidRPr="00AE2224">
        <w:rPr>
          <w:rFonts w:ascii="Arial" w:hAnsi="Arial" w:cs="Arial"/>
        </w:rPr>
        <w:t xml:space="preserve">Células epiteliales. (s/f). Medlineplus.gov. Recuperado el 14 de octubre de 2023, de </w:t>
      </w:r>
      <w:hyperlink r:id="rId12" w:history="1">
        <w:r w:rsidRPr="00AE2224">
          <w:rPr>
            <w:rStyle w:val="Hipervnculo"/>
            <w:rFonts w:ascii="Arial" w:hAnsi="Arial" w:cs="Arial"/>
          </w:rPr>
          <w:t>https://medlineplus.gov/spanish/ency/esp_imagepages/8952.htm</w:t>
        </w:r>
      </w:hyperlink>
    </w:p>
    <w:p w14:paraId="01A4736F" w14:textId="1870FCE6" w:rsidR="00AE2224" w:rsidRDefault="00AE2224" w:rsidP="00AE2224">
      <w:pPr>
        <w:spacing w:line="276" w:lineRule="auto"/>
        <w:jc w:val="both"/>
        <w:rPr>
          <w:rFonts w:ascii="Arial" w:hAnsi="Arial" w:cs="Arial"/>
        </w:rPr>
      </w:pPr>
      <w:r w:rsidRPr="00AE2224">
        <w:rPr>
          <w:rFonts w:ascii="Arial" w:hAnsi="Arial" w:cs="Arial"/>
        </w:rPr>
        <w:t xml:space="preserve">La importancia de la </w:t>
      </w:r>
      <w:proofErr w:type="spellStart"/>
      <w:r w:rsidRPr="00AE2224">
        <w:rPr>
          <w:rFonts w:ascii="Arial" w:hAnsi="Arial" w:cs="Arial"/>
        </w:rPr>
        <w:t>mitocondría</w:t>
      </w:r>
      <w:proofErr w:type="spellEnd"/>
      <w:r w:rsidRPr="00AE2224">
        <w:rPr>
          <w:rFonts w:ascii="Arial" w:hAnsi="Arial" w:cs="Arial"/>
        </w:rPr>
        <w:t xml:space="preserve">. (s/f). Pronacera.com. Recuperado el 25 de octubre de 2023, de </w:t>
      </w:r>
      <w:hyperlink r:id="rId13" w:history="1">
        <w:r w:rsidRPr="00AE2224">
          <w:rPr>
            <w:rStyle w:val="Hipervnculo"/>
            <w:rFonts w:ascii="Arial" w:hAnsi="Arial" w:cs="Arial"/>
          </w:rPr>
          <w:t>https://www.pronacera.com/la-importancia-de-la-mitocondria-sobre-la-vida-y-la-muerte-celular/</w:t>
        </w:r>
      </w:hyperlink>
    </w:p>
    <w:p w14:paraId="618B2699" w14:textId="224E2CFE" w:rsidR="00AE2224" w:rsidRDefault="00AE2224" w:rsidP="00AE2224">
      <w:pPr>
        <w:spacing w:line="276" w:lineRule="auto"/>
        <w:jc w:val="both"/>
        <w:rPr>
          <w:rFonts w:ascii="Arial" w:hAnsi="Arial" w:cs="Arial"/>
        </w:rPr>
      </w:pPr>
      <w:r w:rsidRPr="00AE2224">
        <w:rPr>
          <w:rFonts w:ascii="Arial" w:hAnsi="Arial" w:cs="Arial"/>
        </w:rPr>
        <w:t xml:space="preserve">Prieto, P. B. (2020, noviembre 9). Los 44 tipos de células del cuerpo humano (características y funciones). Medicoplus.com. </w:t>
      </w:r>
      <w:hyperlink r:id="rId14" w:history="1">
        <w:r w:rsidRPr="00AE2224">
          <w:rPr>
            <w:rStyle w:val="Hipervnculo"/>
            <w:rFonts w:ascii="Arial" w:hAnsi="Arial" w:cs="Arial"/>
          </w:rPr>
          <w:t>https://medicoplus.com/ciencia/tipos-celulas-cuerpo-humano</w:t>
        </w:r>
      </w:hyperlink>
    </w:p>
    <w:p w14:paraId="3CA35072" w14:textId="42F16EB4" w:rsidR="00AE2224" w:rsidRDefault="00AE2224" w:rsidP="00AE2224">
      <w:pPr>
        <w:spacing w:line="276" w:lineRule="auto"/>
        <w:jc w:val="both"/>
        <w:rPr>
          <w:rFonts w:ascii="Arial" w:hAnsi="Arial" w:cs="Arial"/>
        </w:rPr>
      </w:pPr>
      <w:r w:rsidRPr="00AE2224">
        <w:rPr>
          <w:rFonts w:ascii="Arial" w:hAnsi="Arial" w:cs="Arial"/>
        </w:rPr>
        <w:t xml:space="preserve">UNADM. (s/f). Biología celular. Recuperado el 14 de octubre de 2023, de </w:t>
      </w:r>
      <w:hyperlink r:id="rId15" w:history="1">
        <w:r w:rsidRPr="00AE2224">
          <w:rPr>
            <w:rStyle w:val="Hipervnculo"/>
            <w:rFonts w:ascii="Arial" w:hAnsi="Arial" w:cs="Arial"/>
          </w:rPr>
          <w:t>https://dmd.unadmexico.mx/contenidos/DCSBA/BLOQUE2/NA/02/NBNU/unidad_01/descargables/NBNU_U1_Contenido.pdf</w:t>
        </w:r>
      </w:hyperlink>
    </w:p>
    <w:p w14:paraId="20968143" w14:textId="0139BEA2" w:rsidR="003D1E2A" w:rsidRDefault="00AE2224" w:rsidP="00AE2224">
      <w:pPr>
        <w:spacing w:line="276" w:lineRule="auto"/>
        <w:jc w:val="both"/>
        <w:rPr>
          <w:rFonts w:ascii="Arial" w:hAnsi="Arial" w:cs="Arial"/>
        </w:rPr>
      </w:pPr>
      <w:r w:rsidRPr="00AE2224">
        <w:rPr>
          <w:rFonts w:ascii="Arial" w:hAnsi="Arial" w:cs="Arial"/>
        </w:rPr>
        <w:t xml:space="preserve">UNIVERSIDAD NACIONAL AUTÓNOMA DE MÉXICO. (s/f). BIOLOGÍA CELULAR E HISTOLOGÍA MÉDICA. Unam.mx. Recuperado el 14 de octubre de 2023, de </w:t>
      </w:r>
      <w:hyperlink r:id="rId16" w:history="1">
        <w:r w:rsidRPr="00AE2224">
          <w:rPr>
            <w:rStyle w:val="Hipervnculo"/>
            <w:rFonts w:ascii="Arial" w:hAnsi="Arial" w:cs="Arial"/>
          </w:rPr>
          <w:t>https://bct.facmed.unam.mx/wp-content/uploads/2018/08/epitelio_apunte_10.pdf</w:t>
        </w:r>
      </w:hyperlink>
    </w:p>
    <w:p w14:paraId="29413319" w14:textId="77777777" w:rsidR="00AE2224" w:rsidRPr="00AE2224" w:rsidRDefault="00AE2224" w:rsidP="00AE2224">
      <w:pPr>
        <w:spacing w:line="276" w:lineRule="auto"/>
        <w:jc w:val="both"/>
        <w:rPr>
          <w:rFonts w:ascii="Arial" w:hAnsi="Arial" w:cs="Arial"/>
        </w:rPr>
      </w:pPr>
    </w:p>
    <w:sectPr w:rsidR="00AE2224" w:rsidRPr="00AE22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CB65B" w14:textId="77777777" w:rsidR="0083224E" w:rsidRDefault="0083224E" w:rsidP="00D04DA7">
      <w:pPr>
        <w:spacing w:after="0" w:line="240" w:lineRule="auto"/>
      </w:pPr>
      <w:r>
        <w:separator/>
      </w:r>
    </w:p>
  </w:endnote>
  <w:endnote w:type="continuationSeparator" w:id="0">
    <w:p w14:paraId="485E0054" w14:textId="77777777" w:rsidR="0083224E" w:rsidRDefault="0083224E"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A64D" w14:textId="77777777" w:rsidR="0083224E" w:rsidRDefault="0083224E" w:rsidP="00D04DA7">
      <w:pPr>
        <w:spacing w:after="0" w:line="240" w:lineRule="auto"/>
      </w:pPr>
      <w:r>
        <w:separator/>
      </w:r>
    </w:p>
  </w:footnote>
  <w:footnote w:type="continuationSeparator" w:id="0">
    <w:p w14:paraId="1F91A056" w14:textId="77777777" w:rsidR="0083224E" w:rsidRDefault="0083224E"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020225"/>
    <w:rsid w:val="000F3BDE"/>
    <w:rsid w:val="00105883"/>
    <w:rsid w:val="00113A85"/>
    <w:rsid w:val="00130717"/>
    <w:rsid w:val="00132987"/>
    <w:rsid w:val="003174CA"/>
    <w:rsid w:val="003C646E"/>
    <w:rsid w:val="003D1E2A"/>
    <w:rsid w:val="004339A9"/>
    <w:rsid w:val="006A209D"/>
    <w:rsid w:val="00761426"/>
    <w:rsid w:val="00776735"/>
    <w:rsid w:val="0083224E"/>
    <w:rsid w:val="008B6E73"/>
    <w:rsid w:val="00921EF1"/>
    <w:rsid w:val="00A27F3C"/>
    <w:rsid w:val="00AE2224"/>
    <w:rsid w:val="00B00612"/>
    <w:rsid w:val="00B2643B"/>
    <w:rsid w:val="00C253F1"/>
    <w:rsid w:val="00D04DA7"/>
    <w:rsid w:val="00D23B14"/>
    <w:rsid w:val="00EB40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202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F3BDE"/>
    <w:rPr>
      <w:b/>
      <w:bCs/>
    </w:rPr>
  </w:style>
  <w:style w:type="character" w:styleId="Mencinsinresolver">
    <w:name w:val="Unresolved Mention"/>
    <w:basedOn w:val="Fuentedeprrafopredeter"/>
    <w:uiPriority w:val="99"/>
    <w:semiHidden/>
    <w:unhideWhenUsed/>
    <w:rsid w:val="00AE2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7681">
      <w:bodyDiv w:val="1"/>
      <w:marLeft w:val="0"/>
      <w:marRight w:val="0"/>
      <w:marTop w:val="0"/>
      <w:marBottom w:val="0"/>
      <w:divBdr>
        <w:top w:val="none" w:sz="0" w:space="0" w:color="auto"/>
        <w:left w:val="none" w:sz="0" w:space="0" w:color="auto"/>
        <w:bottom w:val="none" w:sz="0" w:space="0" w:color="auto"/>
        <w:right w:val="none" w:sz="0" w:space="0" w:color="auto"/>
      </w:divBdr>
      <w:divsChild>
        <w:div w:id="1921404470">
          <w:marLeft w:val="0"/>
          <w:marRight w:val="0"/>
          <w:marTop w:val="0"/>
          <w:marBottom w:val="0"/>
          <w:divBdr>
            <w:top w:val="none" w:sz="0" w:space="0" w:color="auto"/>
            <w:left w:val="none" w:sz="0" w:space="0" w:color="auto"/>
            <w:bottom w:val="none" w:sz="0" w:space="0" w:color="auto"/>
            <w:right w:val="none" w:sz="0" w:space="0" w:color="auto"/>
          </w:divBdr>
        </w:div>
      </w:divsChild>
    </w:div>
    <w:div w:id="154538149">
      <w:bodyDiv w:val="1"/>
      <w:marLeft w:val="0"/>
      <w:marRight w:val="0"/>
      <w:marTop w:val="0"/>
      <w:marBottom w:val="0"/>
      <w:divBdr>
        <w:top w:val="none" w:sz="0" w:space="0" w:color="auto"/>
        <w:left w:val="none" w:sz="0" w:space="0" w:color="auto"/>
        <w:bottom w:val="none" w:sz="0" w:space="0" w:color="auto"/>
        <w:right w:val="none" w:sz="0" w:space="0" w:color="auto"/>
      </w:divBdr>
      <w:divsChild>
        <w:div w:id="823592330">
          <w:marLeft w:val="0"/>
          <w:marRight w:val="0"/>
          <w:marTop w:val="0"/>
          <w:marBottom w:val="0"/>
          <w:divBdr>
            <w:top w:val="single" w:sz="2" w:space="0" w:color="auto"/>
            <w:left w:val="single" w:sz="2" w:space="0" w:color="auto"/>
            <w:bottom w:val="single" w:sz="6" w:space="0" w:color="auto"/>
            <w:right w:val="single" w:sz="2" w:space="0" w:color="auto"/>
          </w:divBdr>
          <w:divsChild>
            <w:div w:id="6073228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055195">
                  <w:marLeft w:val="0"/>
                  <w:marRight w:val="0"/>
                  <w:marTop w:val="0"/>
                  <w:marBottom w:val="0"/>
                  <w:divBdr>
                    <w:top w:val="single" w:sz="2" w:space="0" w:color="D9D9E3"/>
                    <w:left w:val="single" w:sz="2" w:space="0" w:color="D9D9E3"/>
                    <w:bottom w:val="single" w:sz="2" w:space="0" w:color="D9D9E3"/>
                    <w:right w:val="single" w:sz="2" w:space="0" w:color="D9D9E3"/>
                  </w:divBdr>
                  <w:divsChild>
                    <w:div w:id="1784033720">
                      <w:marLeft w:val="0"/>
                      <w:marRight w:val="0"/>
                      <w:marTop w:val="0"/>
                      <w:marBottom w:val="0"/>
                      <w:divBdr>
                        <w:top w:val="single" w:sz="2" w:space="0" w:color="D9D9E3"/>
                        <w:left w:val="single" w:sz="2" w:space="0" w:color="D9D9E3"/>
                        <w:bottom w:val="single" w:sz="2" w:space="0" w:color="D9D9E3"/>
                        <w:right w:val="single" w:sz="2" w:space="0" w:color="D9D9E3"/>
                      </w:divBdr>
                      <w:divsChild>
                        <w:div w:id="114519177">
                          <w:marLeft w:val="0"/>
                          <w:marRight w:val="0"/>
                          <w:marTop w:val="0"/>
                          <w:marBottom w:val="0"/>
                          <w:divBdr>
                            <w:top w:val="single" w:sz="2" w:space="0" w:color="D9D9E3"/>
                            <w:left w:val="single" w:sz="2" w:space="0" w:color="D9D9E3"/>
                            <w:bottom w:val="single" w:sz="2" w:space="0" w:color="D9D9E3"/>
                            <w:right w:val="single" w:sz="2" w:space="0" w:color="D9D9E3"/>
                          </w:divBdr>
                          <w:divsChild>
                            <w:div w:id="982078060">
                              <w:marLeft w:val="0"/>
                              <w:marRight w:val="0"/>
                              <w:marTop w:val="0"/>
                              <w:marBottom w:val="0"/>
                              <w:divBdr>
                                <w:top w:val="single" w:sz="2" w:space="0" w:color="D9D9E3"/>
                                <w:left w:val="single" w:sz="2" w:space="0" w:color="D9D9E3"/>
                                <w:bottom w:val="single" w:sz="2" w:space="0" w:color="D9D9E3"/>
                                <w:right w:val="single" w:sz="2" w:space="0" w:color="D9D9E3"/>
                              </w:divBdr>
                              <w:divsChild>
                                <w:div w:id="1638610232">
                                  <w:marLeft w:val="0"/>
                                  <w:marRight w:val="0"/>
                                  <w:marTop w:val="0"/>
                                  <w:marBottom w:val="0"/>
                                  <w:divBdr>
                                    <w:top w:val="single" w:sz="2" w:space="0" w:color="D9D9E3"/>
                                    <w:left w:val="single" w:sz="2" w:space="0" w:color="D9D9E3"/>
                                    <w:bottom w:val="single" w:sz="2" w:space="0" w:color="D9D9E3"/>
                                    <w:right w:val="single" w:sz="2" w:space="0" w:color="D9D9E3"/>
                                  </w:divBdr>
                                  <w:divsChild>
                                    <w:div w:id="111046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905293">
      <w:bodyDiv w:val="1"/>
      <w:marLeft w:val="0"/>
      <w:marRight w:val="0"/>
      <w:marTop w:val="0"/>
      <w:marBottom w:val="0"/>
      <w:divBdr>
        <w:top w:val="none" w:sz="0" w:space="0" w:color="auto"/>
        <w:left w:val="none" w:sz="0" w:space="0" w:color="auto"/>
        <w:bottom w:val="none" w:sz="0" w:space="0" w:color="auto"/>
        <w:right w:val="none" w:sz="0" w:space="0" w:color="auto"/>
      </w:divBdr>
    </w:div>
    <w:div w:id="414742916">
      <w:bodyDiv w:val="1"/>
      <w:marLeft w:val="0"/>
      <w:marRight w:val="0"/>
      <w:marTop w:val="0"/>
      <w:marBottom w:val="0"/>
      <w:divBdr>
        <w:top w:val="none" w:sz="0" w:space="0" w:color="auto"/>
        <w:left w:val="none" w:sz="0" w:space="0" w:color="auto"/>
        <w:bottom w:val="none" w:sz="0" w:space="0" w:color="auto"/>
        <w:right w:val="none" w:sz="0" w:space="0" w:color="auto"/>
      </w:divBdr>
    </w:div>
    <w:div w:id="516165427">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822282185">
      <w:bodyDiv w:val="1"/>
      <w:marLeft w:val="0"/>
      <w:marRight w:val="0"/>
      <w:marTop w:val="0"/>
      <w:marBottom w:val="0"/>
      <w:divBdr>
        <w:top w:val="none" w:sz="0" w:space="0" w:color="auto"/>
        <w:left w:val="none" w:sz="0" w:space="0" w:color="auto"/>
        <w:bottom w:val="none" w:sz="0" w:space="0" w:color="auto"/>
        <w:right w:val="none" w:sz="0" w:space="0" w:color="auto"/>
      </w:divBdr>
    </w:div>
    <w:div w:id="936056719">
      <w:bodyDiv w:val="1"/>
      <w:marLeft w:val="0"/>
      <w:marRight w:val="0"/>
      <w:marTop w:val="0"/>
      <w:marBottom w:val="0"/>
      <w:divBdr>
        <w:top w:val="none" w:sz="0" w:space="0" w:color="auto"/>
        <w:left w:val="none" w:sz="0" w:space="0" w:color="auto"/>
        <w:bottom w:val="none" w:sz="0" w:space="0" w:color="auto"/>
        <w:right w:val="none" w:sz="0" w:space="0" w:color="auto"/>
      </w:divBdr>
      <w:divsChild>
        <w:div w:id="1199970621">
          <w:marLeft w:val="0"/>
          <w:marRight w:val="0"/>
          <w:marTop w:val="0"/>
          <w:marBottom w:val="0"/>
          <w:divBdr>
            <w:top w:val="single" w:sz="2" w:space="0" w:color="D9D9E3"/>
            <w:left w:val="single" w:sz="2" w:space="0" w:color="D9D9E3"/>
            <w:bottom w:val="single" w:sz="2" w:space="0" w:color="D9D9E3"/>
            <w:right w:val="single" w:sz="2" w:space="0" w:color="D9D9E3"/>
          </w:divBdr>
          <w:divsChild>
            <w:div w:id="879054962">
              <w:marLeft w:val="0"/>
              <w:marRight w:val="0"/>
              <w:marTop w:val="0"/>
              <w:marBottom w:val="0"/>
              <w:divBdr>
                <w:top w:val="single" w:sz="2" w:space="0" w:color="D9D9E3"/>
                <w:left w:val="single" w:sz="2" w:space="0" w:color="D9D9E3"/>
                <w:bottom w:val="single" w:sz="2" w:space="0" w:color="D9D9E3"/>
                <w:right w:val="single" w:sz="2" w:space="0" w:color="D9D9E3"/>
              </w:divBdr>
              <w:divsChild>
                <w:div w:id="465702918">
                  <w:marLeft w:val="0"/>
                  <w:marRight w:val="0"/>
                  <w:marTop w:val="0"/>
                  <w:marBottom w:val="0"/>
                  <w:divBdr>
                    <w:top w:val="single" w:sz="2" w:space="0" w:color="D9D9E3"/>
                    <w:left w:val="single" w:sz="2" w:space="0" w:color="D9D9E3"/>
                    <w:bottom w:val="single" w:sz="2" w:space="0" w:color="D9D9E3"/>
                    <w:right w:val="single" w:sz="2" w:space="0" w:color="D9D9E3"/>
                  </w:divBdr>
                  <w:divsChild>
                    <w:div w:id="437335264">
                      <w:marLeft w:val="0"/>
                      <w:marRight w:val="0"/>
                      <w:marTop w:val="0"/>
                      <w:marBottom w:val="0"/>
                      <w:divBdr>
                        <w:top w:val="single" w:sz="2" w:space="0" w:color="D9D9E3"/>
                        <w:left w:val="single" w:sz="2" w:space="0" w:color="D9D9E3"/>
                        <w:bottom w:val="single" w:sz="2" w:space="0" w:color="D9D9E3"/>
                        <w:right w:val="single" w:sz="2" w:space="0" w:color="D9D9E3"/>
                      </w:divBdr>
                      <w:divsChild>
                        <w:div w:id="755129556">
                          <w:marLeft w:val="0"/>
                          <w:marRight w:val="0"/>
                          <w:marTop w:val="0"/>
                          <w:marBottom w:val="0"/>
                          <w:divBdr>
                            <w:top w:val="single" w:sz="2" w:space="0" w:color="auto"/>
                            <w:left w:val="single" w:sz="2" w:space="0" w:color="auto"/>
                            <w:bottom w:val="single" w:sz="6" w:space="0" w:color="auto"/>
                            <w:right w:val="single" w:sz="2" w:space="0" w:color="auto"/>
                          </w:divBdr>
                          <w:divsChild>
                            <w:div w:id="1358116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748899">
                                  <w:marLeft w:val="0"/>
                                  <w:marRight w:val="0"/>
                                  <w:marTop w:val="0"/>
                                  <w:marBottom w:val="0"/>
                                  <w:divBdr>
                                    <w:top w:val="single" w:sz="2" w:space="0" w:color="D9D9E3"/>
                                    <w:left w:val="single" w:sz="2" w:space="0" w:color="D9D9E3"/>
                                    <w:bottom w:val="single" w:sz="2" w:space="0" w:color="D9D9E3"/>
                                    <w:right w:val="single" w:sz="2" w:space="0" w:color="D9D9E3"/>
                                  </w:divBdr>
                                  <w:divsChild>
                                    <w:div w:id="1612933813">
                                      <w:marLeft w:val="0"/>
                                      <w:marRight w:val="0"/>
                                      <w:marTop w:val="0"/>
                                      <w:marBottom w:val="0"/>
                                      <w:divBdr>
                                        <w:top w:val="single" w:sz="2" w:space="0" w:color="D9D9E3"/>
                                        <w:left w:val="single" w:sz="2" w:space="0" w:color="D9D9E3"/>
                                        <w:bottom w:val="single" w:sz="2" w:space="0" w:color="D9D9E3"/>
                                        <w:right w:val="single" w:sz="2" w:space="0" w:color="D9D9E3"/>
                                      </w:divBdr>
                                      <w:divsChild>
                                        <w:div w:id="796070749">
                                          <w:marLeft w:val="0"/>
                                          <w:marRight w:val="0"/>
                                          <w:marTop w:val="0"/>
                                          <w:marBottom w:val="0"/>
                                          <w:divBdr>
                                            <w:top w:val="single" w:sz="2" w:space="0" w:color="D9D9E3"/>
                                            <w:left w:val="single" w:sz="2" w:space="0" w:color="D9D9E3"/>
                                            <w:bottom w:val="single" w:sz="2" w:space="0" w:color="D9D9E3"/>
                                            <w:right w:val="single" w:sz="2" w:space="0" w:color="D9D9E3"/>
                                          </w:divBdr>
                                          <w:divsChild>
                                            <w:div w:id="1818648130">
                                              <w:marLeft w:val="0"/>
                                              <w:marRight w:val="0"/>
                                              <w:marTop w:val="0"/>
                                              <w:marBottom w:val="0"/>
                                              <w:divBdr>
                                                <w:top w:val="single" w:sz="2" w:space="0" w:color="D9D9E3"/>
                                                <w:left w:val="single" w:sz="2" w:space="0" w:color="D9D9E3"/>
                                                <w:bottom w:val="single" w:sz="2" w:space="0" w:color="D9D9E3"/>
                                                <w:right w:val="single" w:sz="2" w:space="0" w:color="D9D9E3"/>
                                              </w:divBdr>
                                              <w:divsChild>
                                                <w:div w:id="1360861802">
                                                  <w:marLeft w:val="0"/>
                                                  <w:marRight w:val="0"/>
                                                  <w:marTop w:val="0"/>
                                                  <w:marBottom w:val="0"/>
                                                  <w:divBdr>
                                                    <w:top w:val="single" w:sz="2" w:space="0" w:color="D9D9E3"/>
                                                    <w:left w:val="single" w:sz="2" w:space="0" w:color="D9D9E3"/>
                                                    <w:bottom w:val="single" w:sz="2" w:space="0" w:color="D9D9E3"/>
                                                    <w:right w:val="single" w:sz="2" w:space="0" w:color="D9D9E3"/>
                                                  </w:divBdr>
                                                  <w:divsChild>
                                                    <w:div w:id="112945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2789473">
                          <w:marLeft w:val="0"/>
                          <w:marRight w:val="0"/>
                          <w:marTop w:val="0"/>
                          <w:marBottom w:val="0"/>
                          <w:divBdr>
                            <w:top w:val="single" w:sz="2" w:space="0" w:color="D9D9E3"/>
                            <w:left w:val="single" w:sz="2" w:space="0" w:color="D9D9E3"/>
                            <w:bottom w:val="single" w:sz="2" w:space="0" w:color="D9D9E3"/>
                            <w:right w:val="single" w:sz="2" w:space="0" w:color="D9D9E3"/>
                          </w:divBdr>
                          <w:divsChild>
                            <w:div w:id="91320252">
                              <w:marLeft w:val="0"/>
                              <w:marRight w:val="0"/>
                              <w:marTop w:val="90"/>
                              <w:marBottom w:val="0"/>
                              <w:divBdr>
                                <w:top w:val="single" w:sz="2" w:space="0" w:color="D9D9E3"/>
                                <w:left w:val="single" w:sz="2" w:space="0" w:color="D9D9E3"/>
                                <w:bottom w:val="single" w:sz="2" w:space="0" w:color="D9D9E3"/>
                                <w:right w:val="single" w:sz="2" w:space="0" w:color="D9D9E3"/>
                              </w:divBdr>
                              <w:divsChild>
                                <w:div w:id="1251502071">
                                  <w:marLeft w:val="0"/>
                                  <w:marRight w:val="0"/>
                                  <w:marTop w:val="0"/>
                                  <w:marBottom w:val="0"/>
                                  <w:divBdr>
                                    <w:top w:val="single" w:sz="2" w:space="0" w:color="D9D9E3"/>
                                    <w:left w:val="single" w:sz="2" w:space="0" w:color="D9D9E3"/>
                                    <w:bottom w:val="single" w:sz="2" w:space="0" w:color="D9D9E3"/>
                                    <w:right w:val="single" w:sz="2" w:space="0" w:color="D9D9E3"/>
                                  </w:divBdr>
                                  <w:divsChild>
                                    <w:div w:id="1684628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970043">
          <w:marLeft w:val="0"/>
          <w:marRight w:val="0"/>
          <w:marTop w:val="0"/>
          <w:marBottom w:val="0"/>
          <w:divBdr>
            <w:top w:val="none" w:sz="0" w:space="0" w:color="auto"/>
            <w:left w:val="none" w:sz="0" w:space="0" w:color="auto"/>
            <w:bottom w:val="none" w:sz="0" w:space="0" w:color="auto"/>
            <w:right w:val="none" w:sz="0" w:space="0" w:color="auto"/>
          </w:divBdr>
        </w:div>
      </w:divsChild>
    </w:div>
    <w:div w:id="1123041994">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admexico.mx/user/view.php?id=788&amp;course=876" TargetMode="External"/><Relationship Id="rId13" Type="http://schemas.openxmlformats.org/officeDocument/2006/relationships/hyperlink" Target="https://www.pronacera.com/la-importancia-de-la-mitocondria-sobre-la-vida-y-la-muerte-celula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lineplus.gov/spanish/ency/esp_imagepages/8952.ht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ct.facmed.unam.mx/wp-content/uploads/2018/08/epitelio_apunte_1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md.unadmexico.mx/contenidos/DCSBA/BLOQUE2/NA/02/NBNU/unidad_01/descargables/NBNU_U1_Contenido.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edicoplus.com/ciencia/tipos-celulas-cuerpo-human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13CD0-A6FA-451D-9F82-7BA1F8E24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1231</Words>
  <Characters>6776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2023-10-25T04:00:00Z</dcterms:created>
  <dcterms:modified xsi:type="dcterms:W3CDTF">2023-10-25T04:00:00Z</dcterms:modified>
</cp:coreProperties>
</file>