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Guía: lectura con pistola de códigos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5, 6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 de portería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Guía práctica Diátaxis</w:t>
      </w:r>
    </w:p>
    <w:p>
      <w:pPr>
        <w:pStyle w:val="Heading2"/>
      </w:pPr>
      <w:r>
        <w:rPr>
          <w:rFonts w:ascii="Calibri" w:hAnsi="Calibri"/>
          <w:b/>
          <w:sz w:val="22"/>
        </w:rPr>
        <w:t>Cuándo usar esta guía</w:t>
      </w:r>
    </w:p>
    <w:p>
      <w:r>
        <w:rPr>
          <w:rFonts w:ascii="Calibri" w:hAnsi="Calibri"/>
          <w:b w:val="0"/>
          <w:sz w:val="22"/>
        </w:rPr>
        <w:t xml:space="preserve">Hay una </w:t>
      </w:r>
      <w:r>
        <w:rPr>
          <w:rFonts w:ascii="Calibri" w:hAnsi="Calibri"/>
          <w:b/>
          <w:sz w:val="22"/>
        </w:rPr>
        <w:t>pistola USB</w:t>
      </w:r>
      <w:r>
        <w:rPr>
          <w:rFonts w:ascii="Calibri" w:hAnsi="Calibri"/>
          <w:b w:val="0"/>
          <w:sz w:val="22"/>
        </w:rPr>
        <w:t xml:space="preserve"> (o lector) configurada como teclado (HID) que lee QR o código de barras / PDF417 de documentos.</w:t>
      </w:r>
    </w:p>
    <w:p>
      <w:r>
        <w:rPr>
          <w:rFonts w:ascii="Calibri" w:hAnsi="Calibri"/>
          <w:b w:val="0"/>
          <w:sz w:val="22"/>
        </w:rPr>
        <w:t xml:space="preserve">La app interpreta la ráfaga de caracteres y </w:t>
      </w:r>
      <w:r>
        <w:rPr>
          <w:rFonts w:ascii="Calibri" w:hAnsi="Calibri"/>
          <w:b/>
          <w:sz w:val="22"/>
        </w:rPr>
        <w:t>rellena el formulario</w:t>
      </w:r>
      <w:r>
        <w:rPr>
          <w:rFonts w:ascii="Calibri" w:hAnsi="Calibri"/>
          <w:b w:val="0"/>
          <w:sz w:val="22"/>
        </w:rPr>
        <w:t xml:space="preserve"> central. Usted sigue siendo quien consulta y registra.</w:t>
      </w:r>
    </w:p>
    <w:p>
      <w:pPr>
        <w:pStyle w:val="Heading2"/>
      </w:pPr>
      <w:r>
        <w:rPr>
          <w:rFonts w:ascii="Calibri" w:hAnsi="Calibri"/>
          <w:b/>
          <w:sz w:val="22"/>
        </w:rPr>
        <w:t>Pasos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Coloque el cursor / enfoque en el área del formulario de ingreso (como cuando digita un documento).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Escanee el documento o código QR con la pistola.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Espere a que el formulario se complete (tipo y número de documento, y campos que el parseo pueda obtener).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Verifique visualmente que los datos coinciden con el documento físico.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Consultar si no se disparó la búsqueda automáticamente.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Confirme identidad y registre ingreso o salida.</w:t>
      </w:r>
    </w:p>
    <w:p>
      <w:r>
        <w:rPr>
          <w:rFonts w:ascii="Calibri" w:hAnsi="Calibri"/>
          <w:b w:val="0"/>
          <w:sz w:val="22"/>
        </w:rPr>
        <w:t>Si el código no se entiende, digite el documento a mano ([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](registrar-ingreso-manual.md)).</w:t>
      </w:r>
    </w:p>
    <w:p>
      <w:pPr>
        <w:pStyle w:val="Heading2"/>
      </w:pPr>
      <w:r>
        <w:rPr>
          <w:rFonts w:ascii="Calibri" w:hAnsi="Calibri"/>
          <w:b/>
          <w:sz w:val="22"/>
        </w:rPr>
        <w:t>Buenas prácticas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escanee “a ciegas” sin mirar el formulario.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 el parseo deja campos raros o incompletos, corrija a mano antes de registrar.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pistola no sustituye la confirmación facial: si luego usa rostro, siga revisando el panel de confirmación.</w:t>
      </w:r>
    </w:p>
    <w:p>
      <w:pPr>
        <w:pStyle w:val="Heading2"/>
      </w:pPr>
      <w:r>
        <w:rPr>
          <w:rFonts w:ascii="Calibri" w:hAnsi="Calibri"/>
          <w:b/>
          <w:sz w:val="22"/>
        </w:rPr>
        <w:t>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aparece nada al escanear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Verificar que Windows reconoce la pistola; probar en Bloc de notas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Datos incompletos o incorrectos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Corregir manualmente; avisar a TI si es recurrente con el mismo tipo de código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Duplica caracteres / corta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Ajustar sufijo Enter de la pistola con TI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Manual: 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](registrar-ingreso-manual.md)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Tutorial: [</w:t>
      </w:r>
      <w:r>
        <w:rPr>
          <w:rFonts w:ascii="Consolas" w:hAnsi="Consolas"/>
          <w:b w:val="0"/>
          <w:sz w:val="20"/>
        </w:rPr>
        <w:t>../tutorial-primer-uso.md</w:t>
      </w:r>
      <w:r>
        <w:rPr>
          <w:rFonts w:ascii="Calibri" w:hAnsi="Calibri"/>
          <w:b w:val="0"/>
          <w:sz w:val="22"/>
        </w:rPr>
        <w:t>](../tutorial-primer-uso.md)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