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ADR-05 — URL del servidor preconfigurada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 (configuración controlada), 7 (operación estable en portería), 8 (TLS / destino de confianza)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>El operario de portería no es administrador de red. Pedir la URL del backend en cada login induce errores tipográficos, apuntar a hosts incorrectos y soporte innecesario. El PC de portería es un puesto fijo hacia un servidor institucional conocido.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r>
        <w:rPr>
          <w:rFonts w:ascii="Calibri" w:hAnsi="Calibri"/>
          <w:b w:val="0"/>
          <w:sz w:val="22"/>
        </w:rPr>
        <w:t>La **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 xml:space="preserve">** (y opcionalmente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) vive en configuración de instalación,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en un diálogo de primer uso: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Entorno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Origen típico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Desarrollo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runtime/app_config.json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https://localhost/smartcset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Empaquetado portería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seed packaging/app_config.porteria.json embebido / copiado a runtime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https://10.5.213.111/smartcset (lab) o host institucional</w:t>
            </w:r>
          </w:p>
        </w:tc>
      </w:tr>
    </w:tbl>
    <w:p>
      <w:r>
        <w:rPr>
          <w:rFonts w:ascii="Calibri" w:hAnsi="Calibri"/>
          <w:b w:val="0"/>
          <w:sz w:val="22"/>
        </w:rPr>
        <w:t>Carga: [</w:t>
      </w:r>
      <w:r>
        <w:rPr>
          <w:rFonts w:ascii="Consolas" w:hAnsi="Consolas"/>
          <w:b w:val="0"/>
          <w:sz w:val="20"/>
        </w:rPr>
        <w:t>../src/config.py</w:t>
      </w:r>
      <w:r>
        <w:rPr>
          <w:rFonts w:ascii="Calibri" w:hAnsi="Calibri"/>
          <w:b w:val="0"/>
          <w:sz w:val="22"/>
        </w:rPr>
        <w:t xml:space="preserve">](../../src/config.py). El login solo pide </w:t>
      </w:r>
      <w:r>
        <w:rPr>
          <w:rFonts w:ascii="Calibri" w:hAnsi="Calibri"/>
          <w:b/>
          <w:sz w:val="22"/>
        </w:rPr>
        <w:t>usuario y contraseña</w:t>
      </w:r>
      <w:r>
        <w:rPr>
          <w:rFonts w:ascii="Calibri" w:hAnsi="Calibri"/>
          <w:b w:val="0"/>
          <w:sz w:val="22"/>
        </w:rPr>
        <w:t xml:space="preserve"> SmartCSET.</w:t>
      </w:r>
    </w:p>
    <w:p>
      <w:r>
        <w:rPr>
          <w:rFonts w:ascii="Calibri" w:hAnsi="Calibri"/>
          <w:b w:val="0"/>
          <w:sz w:val="22"/>
        </w:rPr>
        <w:t>Cambio de servidor = cambio de archivo de config por TI (ver manual de instalación), no por el operario.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UX alineada al rol portería; menos errores de URL.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Destino HTTPS fijo facilita inventariar el canal (MSPI Eje 5/8).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Seeds distintos por ambiente (lab vs producción) sin tocar código.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Mover el puesto a otro centro/servidor requiere intervención de TI.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Seed de laboratorio puede traer </w:t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 xml:space="preserve"> (cert autofirmado); en producción institucional debe ser </w:t>
      </w:r>
      <w:r>
        <w:rPr>
          <w:rFonts w:ascii="Consolas" w:hAnsi="Consolas"/>
          <w:b w:val="0"/>
          <w:sz w:val="20"/>
        </w:rPr>
        <w:t>true</w:t>
      </w:r>
      <w:r>
        <w:rPr>
          <w:rFonts w:ascii="Calibri" w:hAnsi="Calibri"/>
          <w:b w:val="0"/>
          <w:sz w:val="22"/>
        </w:rPr>
        <w:t xml:space="preserve"> con certificado válido — riesgo residual documentado en seguridad MSPI.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Si la URL está mal, todos los síntomas se ven como “no conecta” / “respuesta inválida”; el diagnóstico empieza por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