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04 — Estrategia de solución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app_desktop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3, 5, 7, 8</w:t>
      </w:r>
    </w:p>
    <w:p>
      <w:pPr>
        <w:pStyle w:val="Heading2"/>
      </w:pPr>
      <w:r>
        <w:rPr>
          <w:rFonts w:ascii="Calibri" w:hAnsi="Calibri"/>
          <w:b/>
          <w:sz w:val="22"/>
        </w:rPr>
        <w:t>4.1 Idea central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Cliente rico (thick client)</w:t>
      </w:r>
      <w:r>
        <w:rPr>
          <w:rFonts w:ascii="Calibri" w:hAnsi="Calibri"/>
          <w:b w:val="0"/>
          <w:sz w:val="22"/>
        </w:rPr>
        <w:t xml:space="preserve"> en el PC de portería: procesa biometría localmente (detección + embedding) y </w:t>
      </w:r>
      <w:r>
        <w:rPr>
          <w:rFonts w:ascii="Calibri" w:hAnsi="Calibri"/>
          <w:b/>
          <w:sz w:val="22"/>
        </w:rPr>
        <w:t>orquesta</w:t>
      </w:r>
      <w:r>
        <w:rPr>
          <w:rFonts w:ascii="Calibri" w:hAnsi="Calibri"/>
          <w:b w:val="0"/>
          <w:sz w:val="22"/>
        </w:rPr>
        <w:t xml:space="preserve"> el resto por HTTPS hacia SmartCSET. No hay lógica de negocio crítica duplicada ni base de datos local.</w:t>
      </w:r>
    </w:p>
    <w:p>
      <w:pPr>
        <w:pStyle w:val="Heading2"/>
      </w:pPr>
      <w:r>
        <w:rPr>
          <w:rFonts w:ascii="Calibri" w:hAnsi="Calibri"/>
          <w:b/>
          <w:sz w:val="22"/>
        </w:rPr>
        <w:t>4.2 Enfoque frente al diseño original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Tema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Diseño en REGLAS_APP_ESCRITORIO_SGI.md §5.2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As-built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Procesos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App + motor HTTPS en loopback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Un solo proceso Python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App ↔ motor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HTTPS 127.0.0.1 + API key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Llamada directa a FaceEmbedder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Dimensión vector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512 (borrador temprano)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128 (SFace)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Código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Histórico app/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src/</w:t>
            </w:r>
          </w:p>
        </w:tc>
      </w:tr>
    </w:tbl>
    <w:p>
      <w:r>
        <w:rPr>
          <w:rFonts w:ascii="Calibri" w:hAnsi="Calibri"/>
          <w:b w:val="0"/>
          <w:sz w:val="22"/>
        </w:rPr>
        <w:t>Justificación: reutilizar OpenCV ya cargado para la cámara; simplificar despliegue; no abrir superficie de red local. Separación en proceso HTTPS queda como endurecimiento Fase 2.</w:t>
      </w:r>
    </w:p>
    <w:p>
      <w:pPr>
        <w:pStyle w:val="Heading2"/>
      </w:pPr>
      <w:r>
        <w:rPr>
          <w:rFonts w:ascii="Calibri" w:hAnsi="Calibri"/>
          <w:b/>
          <w:sz w:val="22"/>
        </w:rPr>
        <w:t>4.3 Pilares de la estrategia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Sesión web real — misma autenticación y auditoría que la UI web (PHPSESSID).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Motor facial in-process — YuNet (detección) + SFace (embedding 128).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UI operativa mínima — post-login solo pantalla de ingreso (sin sidebar).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Fallback siempre disponible — formulario manual + pistola aunque falle facial.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Empaque onefile — TI despliega .exe + edita JSON; operario solo inicia sesión.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TLS configurable — verificación estricta por defecto en diseño; lab puede desactivar explícitamente.</w:t>
      </w:r>
    </w:p>
    <w:p>
      <w:pPr>
        <w:pStyle w:val="Heading2"/>
      </w:pPr>
      <w:r>
        <w:rPr>
          <w:rFonts w:ascii="Calibri" w:hAnsi="Calibri"/>
          <w:b/>
          <w:sz w:val="22"/>
        </w:rPr>
        <w:t>4.4 Descomposición en capas (estrategia)</w:t>
      </w:r>
    </w:p>
    <w:p>
      <w:r>
        <w:rPr>
          <w:rFonts w:ascii="Consolas" w:hAnsi="Consolas"/>
          <w:b w:val="0"/>
          <w:sz w:val="20"/>
        </w:rPr>
        <w:t>[mermaid]</w:t>
      </w:r>
    </w:p>
    <w:p>
      <w:r>
        <w:rPr>
          <w:rFonts w:ascii="Consolas" w:hAnsi="Consolas"/>
          <w:b w:val="0"/>
          <w:sz w:val="20"/>
        </w:rPr>
        <w:t>flowchart LR</w:t>
      </w:r>
    </w:p>
    <w:p>
      <w:r>
        <w:rPr>
          <w:rFonts w:ascii="Consolas" w:hAnsi="Consolas"/>
          <w:b w:val="0"/>
          <w:sz w:val="20"/>
        </w:rPr>
        <w:t xml:space="preserve">  P[Presentacion_Tkinter] --&gt; A[Aplicacion_main_config]</w:t>
      </w:r>
    </w:p>
    <w:p>
      <w:r>
        <w:rPr>
          <w:rFonts w:ascii="Consolas" w:hAnsi="Consolas"/>
          <w:b w:val="0"/>
          <w:sz w:val="20"/>
        </w:rPr>
        <w:t xml:space="preserve">  P --&gt; D[Dominio_local_motor_scan]</w:t>
      </w:r>
    </w:p>
    <w:p>
      <w:r>
        <w:rPr>
          <w:rFonts w:ascii="Consolas" w:hAnsi="Consolas"/>
          <w:b w:val="0"/>
          <w:sz w:val="20"/>
        </w:rPr>
        <w:t xml:space="preserve">  P --&gt; I[Infra_SmartcsetClient_camara]</w:t>
      </w:r>
    </w:p>
    <w:p>
      <w:r>
        <w:rPr>
          <w:rFonts w:ascii="Consolas" w:hAnsi="Consolas"/>
          <w:b w:val="0"/>
          <w:sz w:val="20"/>
        </w:rPr>
        <w:t xml:space="preserve">  I --&gt; B[Backend_SmartCSET]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Presentación: captura intención del operario y muestra confirmación.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Dominio local: solo lo que </w:t>
      </w:r>
      <w:r>
        <w:rPr>
          <w:rFonts w:ascii="Calibri" w:hAnsi="Calibri"/>
          <w:b/>
          <w:sz w:val="22"/>
        </w:rPr>
        <w:t>debe</w:t>
      </w:r>
      <w:r>
        <w:rPr>
          <w:rFonts w:ascii="Calibri" w:hAnsi="Calibri"/>
          <w:b w:val="0"/>
          <w:sz w:val="22"/>
        </w:rPr>
        <w:t xml:space="preserve"> ocurrir en el PC (embedding, parseo pistola, validación de campos).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Infraestructura: HTTP thread-safe, rutas frozen/dev, logs rotativos.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Externos: PHP + PostgreSQL + filesystem de fotos.</w:t>
      </w:r>
    </w:p>
    <w:p>
      <w:pPr>
        <w:pStyle w:val="Heading2"/>
      </w:pPr>
      <w:r>
        <w:rPr>
          <w:rFonts w:ascii="Calibri" w:hAnsi="Calibri"/>
          <w:b/>
          <w:sz w:val="22"/>
        </w:rPr>
        <w:t>4.5 Decisiones que anclan la estrategia</w:t>
      </w:r>
    </w:p>
    <w:p>
      <w:r>
        <w:rPr>
          <w:rFonts w:ascii="Calibri" w:hAnsi="Calibri"/>
          <w:b w:val="0"/>
          <w:sz w:val="22"/>
        </w:rPr>
        <w:t>Índice completo: [</w:t>
      </w:r>
      <w:r>
        <w:rPr>
          <w:rFonts w:ascii="Consolas" w:hAnsi="Consolas"/>
          <w:b w:val="0"/>
          <w:sz w:val="20"/>
        </w:rPr>
        <w:t>09-decisiones-indice-adr.md</w:t>
      </w:r>
      <w:r>
        <w:rPr>
          <w:rFonts w:ascii="Calibri" w:hAnsi="Calibri"/>
          <w:b w:val="0"/>
          <w:sz w:val="22"/>
        </w:rPr>
        <w:t>](09-decisiones-indice-adr.md).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ADR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Decisión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[ADR-01](../adr/ADR-01-tkinter-stdlib-http.md)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Tkinter + stdlib HTTP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[ADR-02](../adr/ADR-02-sesion-web-real.md)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Sesión web (no token dispositivo)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[ADR-03](../adr/ADR-03-motor-facial-in-process.md)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Motor in-process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[ADR-04](../adr/ADR-04-sface-128.md)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SFace 128 dims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[ADR-05](../adr/ADR-05-url-preconfigurada.md)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URL preconfigurada fuera del login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[ADR-06](../adr/ADR-06-pyinstaller-onefile.md)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PyInstaller onefile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4.6 Estrategia de evolución (consciente)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Corto plazo (operativo)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Medio plazo (no hecho)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Mantener pantalla unificada de ingreso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Exponer Inicio / Salida / Entradas si se pide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Placeholder huella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SDK hardware + metodo_aut=5 real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Motor in-process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Proceso HTTPS loopback (Fase 2)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verify_tls editable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Forzar true en builds de producción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Tests integración 34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CI + tests UI Tkinter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4.7 Qué NO se hace a propósito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No cachear vectores/fotos en disco del PC (solo RAM / UI).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No seguir redirects HTTP automáticamente (evita HTML de login como JSON).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No usar login compartido de registro standalone (inactivo en monorepo).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