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09 — Decisiones (índice ADR)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3, 7, 8</w:t>
      </w:r>
    </w:p>
    <w:p>
      <w:pPr>
        <w:pStyle w:val="Heading2"/>
      </w:pPr>
      <w:r>
        <w:rPr>
          <w:rFonts w:ascii="Calibri" w:hAnsi="Calibri"/>
          <w:b/>
          <w:sz w:val="22"/>
        </w:rPr>
        <w:t>9.1 Propósito</w:t>
      </w:r>
    </w:p>
    <w:p>
      <w:r>
        <w:rPr>
          <w:rFonts w:ascii="Calibri" w:hAnsi="Calibri"/>
          <w:b w:val="0"/>
          <w:sz w:val="22"/>
        </w:rPr>
        <w:t xml:space="preserve">Índice de Architecture Decision Records (ADR) que anclan la arquitectura </w:t>
      </w:r>
      <w:r>
        <w:rPr>
          <w:rFonts w:ascii="Calibri" w:hAnsi="Calibri"/>
          <w:b/>
          <w:sz w:val="22"/>
        </w:rPr>
        <w:t>as-built</w:t>
      </w:r>
      <w:r>
        <w:rPr>
          <w:rFonts w:ascii="Calibri" w:hAnsi="Calibri"/>
          <w:b w:val="0"/>
          <w:sz w:val="22"/>
        </w:rPr>
        <w:t xml:space="preserve">. Los textos completos viven en </w:t>
      </w:r>
      <w:r>
        <w:rPr>
          <w:rFonts w:ascii="Consolas" w:hAnsi="Consolas"/>
          <w:b w:val="0"/>
          <w:sz w:val="20"/>
        </w:rPr>
        <w:t>docs/adr/</w:t>
      </w:r>
      <w:r>
        <w:rPr>
          <w:rFonts w:ascii="Calibri" w:hAnsi="Calibri"/>
          <w:b w:val="0"/>
          <w:sz w:val="22"/>
        </w:rPr>
        <w:t>; aquí solo el mapa y el estado.</w:t>
      </w:r>
    </w:p>
    <w:p>
      <w:pPr>
        <w:pStyle w:val="Heading2"/>
      </w:pPr>
      <w:r>
        <w:rPr>
          <w:rFonts w:ascii="Calibri" w:hAnsi="Calibri"/>
          <w:b/>
          <w:sz w:val="22"/>
        </w:rPr>
        <w:t>9.2 Índice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Título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2"/>
              </w:rPr>
              <w:t>Enlace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ADR-01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Tkinter + HTTP stdlib (sin Electron/Qt/requests)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Aceptada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[../adr/ADR-01-tkinter-stdlib.md](../adr/ADR-01-tkinter-stdlib.md)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ADR-02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Sesión web PHP real (no token de dispositivo)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Aceptada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[../adr/ADR-02-sesion-web-real.md](../adr/ADR-02-sesion-web-real.md)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ADR-03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Motor facial in-process (no proceso HTTPS loopback)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Aceptada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[../adr/ADR-03-motor-biometrico-in-process.md](../adr/ADR-03-motor-biometrico-in-process.md)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ADR-04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Embedding SFace 128 dimensiones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Aceptada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[../adr/ADR-04-sface-128-dims.md](../adr/ADR-04-sface-128-dims.md)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ADR-05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URL del servidor preconfigurada (fuera del login)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Aceptada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[../adr/ADR-05-url-preconfigurada.md](../adr/ADR-05-url-preconfigurada.md)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ADR-06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Empaquetado PyInstaller onefile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Aceptada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[../adr/ADR-06-pyinstaller-onefile.md](../adr/ADR-06-pyinstaller-onefile.md)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9.3 Resumen ejecutivo</w:t>
      </w:r>
    </w:p>
    <w:p>
      <w:pPr>
        <w:pStyle w:val="Heading3"/>
      </w:pPr>
      <w:r>
        <w:rPr>
          <w:rFonts w:ascii="Calibri" w:hAnsi="Calibri"/>
          <w:b/>
          <w:sz w:val="22"/>
        </w:rPr>
        <w:t>ADR-01 — Tkinter + stdlib HTTP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b w:val="0"/>
          <w:sz w:val="22"/>
        </w:rPr>
        <w:t xml:space="preserve"> intranet SENA; minimizar deps y superficie de ataque.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Decisión:</w:t>
      </w:r>
      <w:r>
        <w:rPr>
          <w:rFonts w:ascii="Calibri" w:hAnsi="Calibri"/>
          <w:b w:val="0"/>
          <w:sz w:val="22"/>
        </w:rPr>
        <w:t xml:space="preserve"> UI Tkinter/ttk; cliente </w:t>
      </w:r>
      <w:r>
        <w:rPr>
          <w:rFonts w:ascii="Consolas" w:hAnsi="Consolas"/>
          <w:b w:val="0"/>
          <w:sz w:val="20"/>
        </w:rPr>
        <w:t>urllib</w:t>
      </w:r>
      <w:r>
        <w:rPr>
          <w:rFonts w:ascii="Calibri" w:hAnsi="Calibri"/>
          <w:b w:val="0"/>
          <w:sz w:val="22"/>
        </w:rPr>
        <w:t xml:space="preserve"> + cookie jar.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Descartado:</w:t>
      </w:r>
      <w:r>
        <w:rPr>
          <w:rFonts w:ascii="Calibri" w:hAnsi="Calibri"/>
          <w:b w:val="0"/>
          <w:sz w:val="22"/>
        </w:rPr>
        <w:t xml:space="preserve"> Electron, Qt, </w:t>
      </w:r>
      <w:r>
        <w:rPr>
          <w:rFonts w:ascii="Consolas" w:hAnsi="Consolas"/>
          <w:b w:val="0"/>
          <w:sz w:val="20"/>
        </w:rPr>
        <w:t>requests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sz w:val="22"/>
        </w:rPr>
        <w:t>ADR-02 — Sesión web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b w:val="0"/>
          <w:sz w:val="22"/>
        </w:rPr>
        <w:t xml:space="preserve"> auditoría por usuario real; coherencia con web.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Decisión:</w:t>
      </w:r>
      <w:r>
        <w:rPr>
          <w:rFonts w:ascii="Calibri" w:hAnsi="Calibri"/>
          <w:b w:val="0"/>
          <w:sz w:val="22"/>
        </w:rPr>
        <w:t xml:space="preserve"> login a </w:t>
      </w:r>
      <w:r>
        <w:rPr>
          <w:rFonts w:ascii="Consolas" w:hAnsi="Consolas"/>
          <w:b w:val="0"/>
          <w:sz w:val="20"/>
        </w:rPr>
        <w:t>auth/v1/login.php</w:t>
      </w:r>
      <w:r>
        <w:rPr>
          <w:rFonts w:ascii="Calibri" w:hAnsi="Calibri"/>
          <w:b w:val="0"/>
          <w:sz w:val="22"/>
        </w:rPr>
        <w:t xml:space="preserve"> con cookie </w:t>
      </w:r>
      <w:r>
        <w:rPr>
          <w:rFonts w:ascii="Consolas" w:hAnsi="Consolas"/>
          <w:b w:val="0"/>
          <w:sz w:val="20"/>
        </w:rPr>
        <w:t>PHPSESSID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Descartado:</w:t>
      </w:r>
      <w:r>
        <w:rPr>
          <w:rFonts w:ascii="Calibri" w:hAnsi="Calibri"/>
          <w:b w:val="0"/>
          <w:sz w:val="22"/>
        </w:rPr>
        <w:t xml:space="preserve"> token de </w:t>
      </w:r>
      <w:r>
        <w:rPr>
          <w:rFonts w:ascii="Consolas" w:hAnsi="Consolas"/>
          <w:b w:val="0"/>
          <w:sz w:val="20"/>
        </w:rPr>
        <w:t>tab_dispositivos_porteria</w:t>
      </w:r>
      <w:r>
        <w:rPr>
          <w:rFonts w:ascii="Calibri" w:hAnsi="Calibri"/>
          <w:b w:val="0"/>
          <w:sz w:val="22"/>
        </w:rPr>
        <w:t xml:space="preserve"> (móvil).</w:t>
      </w:r>
    </w:p>
    <w:p>
      <w:pPr>
        <w:pStyle w:val="Heading3"/>
      </w:pPr>
      <w:r>
        <w:rPr>
          <w:rFonts w:ascii="Calibri" w:hAnsi="Calibri"/>
          <w:b/>
          <w:sz w:val="22"/>
        </w:rPr>
        <w:t>ADR-03 — Motor in-process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b w:val="0"/>
          <w:sz w:val="22"/>
        </w:rPr>
        <w:t xml:space="preserve"> diseño original proponía 2 procesos + HTTPS 127.0.0.1.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Decisión: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FaceEmbedder</w:t>
      </w:r>
      <w:r>
        <w:rPr>
          <w:rFonts w:ascii="Calibri" w:hAnsi="Calibri"/>
          <w:b w:val="0"/>
          <w:sz w:val="22"/>
        </w:rPr>
        <w:t xml:space="preserve"> en el mismo proceso que la UI.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Descartado (por ahora):</w:t>
      </w:r>
      <w:r>
        <w:rPr>
          <w:rFonts w:ascii="Calibri" w:hAnsi="Calibri"/>
          <w:b w:val="0"/>
          <w:sz w:val="22"/>
        </w:rPr>
        <w:t xml:space="preserve"> motor separado con API key; queda Fase 2.</w:t>
      </w:r>
    </w:p>
    <w:p>
      <w:pPr>
        <w:pStyle w:val="Heading3"/>
      </w:pPr>
      <w:r>
        <w:rPr>
          <w:rFonts w:ascii="Calibri" w:hAnsi="Calibri"/>
          <w:b/>
          <w:sz w:val="22"/>
        </w:rPr>
        <w:t>ADR-04 — SFace 128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b w:val="0"/>
          <w:sz w:val="22"/>
        </w:rPr>
        <w:t xml:space="preserve"> primer borrador asumía 512 dims sin modelo elegido.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Decisión:</w:t>
      </w:r>
      <w:r>
        <w:rPr>
          <w:rFonts w:ascii="Calibri" w:hAnsi="Calibri"/>
          <w:b w:val="0"/>
          <w:sz w:val="22"/>
        </w:rPr>
        <w:t xml:space="preserve"> YuNet + SFace ONNX vendorizados; vector 128; BD alineada.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Descartado:</w:t>
      </w:r>
      <w:r>
        <w:rPr>
          <w:rFonts w:ascii="Calibri" w:hAnsi="Calibri"/>
          <w:b w:val="0"/>
          <w:sz w:val="22"/>
        </w:rPr>
        <w:t xml:space="preserve"> Facenet512 / otras dims sin migración explícita.</w:t>
      </w:r>
    </w:p>
    <w:p>
      <w:pPr>
        <w:pStyle w:val="Heading3"/>
      </w:pPr>
      <w:r>
        <w:rPr>
          <w:rFonts w:ascii="Calibri" w:hAnsi="Calibri"/>
          <w:b/>
          <w:sz w:val="22"/>
        </w:rPr>
        <w:t>ADR-05 — URL preconfigurada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b w:val="0"/>
          <w:sz w:val="22"/>
        </w:rPr>
        <w:t xml:space="preserve"> operario no debe “configurar red”.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Decisión: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  <w:t xml:space="preserve"> (y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) en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>; TI edita.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Descartado:</w:t>
      </w:r>
      <w:r>
        <w:rPr>
          <w:rFonts w:ascii="Calibri" w:hAnsi="Calibri"/>
          <w:b w:val="0"/>
          <w:sz w:val="22"/>
        </w:rPr>
        <w:t xml:space="preserve"> campo de servidor en pantalla de login.</w:t>
      </w:r>
    </w:p>
    <w:p>
      <w:pPr>
        <w:pStyle w:val="Heading3"/>
      </w:pPr>
      <w:r>
        <w:rPr>
          <w:rFonts w:ascii="Calibri" w:hAnsi="Calibri"/>
          <w:b/>
          <w:sz w:val="22"/>
        </w:rPr>
        <w:t>ADR-06 — PyInstaller onefile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Contexto:</w:t>
      </w:r>
      <w:r>
        <w:rPr>
          <w:rFonts w:ascii="Calibri" w:hAnsi="Calibri"/>
          <w:b w:val="0"/>
          <w:sz w:val="22"/>
        </w:rPr>
        <w:t xml:space="preserve"> despliegue repetible en PCs de portería.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Decisión: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SmartCSET_Porteria.exe</w:t>
      </w:r>
      <w:r>
        <w:rPr>
          <w:rFonts w:ascii="Calibri" w:hAnsi="Calibri"/>
          <w:b w:val="0"/>
          <w:sz w:val="22"/>
        </w:rPr>
        <w:t xml:space="preserve"> onefile con modelos/assets.</w:t>
      </w:r>
    </w:p>
    <w:p>
      <w:pPr>
        <w:pStyle w:val="ListBullet"/>
      </w:pPr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Descartado:</w:t>
      </w:r>
      <w:r>
        <w:rPr>
          <w:rFonts w:ascii="Calibri" w:hAnsi="Calibri"/>
          <w:b w:val="0"/>
          <w:sz w:val="22"/>
        </w:rPr>
        <w:t xml:space="preserve"> solo venv + </w:t>
      </w:r>
      <w:r>
        <w:rPr>
          <w:rFonts w:ascii="Consolas" w:hAnsi="Consolas"/>
          <w:b w:val="0"/>
          <w:sz w:val="20"/>
        </w:rPr>
        <w:t>.bat</w:t>
      </w:r>
      <w:r>
        <w:rPr>
          <w:rFonts w:ascii="Calibri" w:hAnsi="Calibri"/>
          <w:b w:val="0"/>
          <w:sz w:val="22"/>
        </w:rPr>
        <w:t xml:space="preserve"> como entrega oficial.</w:t>
      </w:r>
    </w:p>
    <w:p>
      <w:pPr>
        <w:pStyle w:val="Heading2"/>
      </w:pPr>
      <w:r>
        <w:rPr>
          <w:rFonts w:ascii="Calibri" w:hAnsi="Calibri"/>
          <w:b/>
          <w:sz w:val="22"/>
        </w:rPr>
        <w:t>9.4 Decisiones menores documentadas (sin ADR formal)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Tema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Decisión as-built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Post-login UI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Solo ingreso; sin sidebar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Foto en confirmación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Prioridad foto del servidor sobre frame vivo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TLS lab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verify_tls: false permitido explícitamente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Huella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Placeholder UI + template sintético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Código fuente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Árbol src/ (no app/)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Foto enrolamiento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Opción A: archivo en servidor, no BYTEA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9.5 Cómo agregar un ADR nuevo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Crear docs/adr/ADR-0N-slug.md con contexto, decisión, consecuencias.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Añadir fila en la tabla §9.2 de este índice.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Actualizar [04-estrategia-de-solucion.md](04-estrategia-de-solucion.md) si cambia el pilar arquitectónico.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