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tif" ContentType="image/tiff"/>
  <Override PartName="/word/media/image2.tif" ContentType="image/tiff"/>
  <Override PartName="/word/media/image3.tif" ContentType="image/tiff"/>
  <Override PartName="/word/media/image4.tif" ContentType="image/tiff"/>
  <Override PartName="/word/media/image5.tif" ContentType="image/tiff"/>
  <Override PartName="/word/media/image6.tif" ContentType="image/tiff"/>
  <Override PartName="/word/media/image7.tif" ContentType="image/tiff"/>
  <Override PartName="/word/media/image8.tif" ContentType="image/tif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  <w:bookmarkStart w:id="0" w:name="_Hlk115321856"/>
      <w:bookmarkStart w:id="1" w:name="_Hlk115321856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SUPORTING INFORMATION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Machine Learning Implemented Exploration of the Adsorption Mechanism of Carbon Dioxide onto Porous Carbons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Sarvesh Namdeo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>, Vimal Chandra Srivastava*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,1</w:t>
      </w:r>
      <w:r>
        <w:rPr>
          <w:rFonts w:cs="Times New Roman" w:ascii="Times New Roman" w:hAnsi="Times New Roman"/>
          <w:b/>
          <w:sz w:val="24"/>
          <w:szCs w:val="24"/>
        </w:rPr>
        <w:t>, Paritosh Mohanty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2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sz w:val="24"/>
          <w:szCs w:val="24"/>
        </w:rPr>
        <w:t>Department of Chemical Engineering, Indian Institute of Technology Roorkee, Roorkee 247667, Uttarakhand, India.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Department of Chemistry, Indian Institute of Technology Roorkee, Roorkee 247667, Uttarakhand, India.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*Corresponding author: Tel.: +91-1332-285889; Fax: +91-1332-27635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Emails: vimalcsr@yahoo.co.in, vimal.srivastava@ch.iitr.ac.in (VCS), </w:t>
      </w:r>
      <w:r>
        <w:rPr>
          <w:rStyle w:val="Object-hover"/>
          <w:rFonts w:cs="Times New Roman" w:ascii="Times New Roman" w:hAnsi="Times New Roman"/>
          <w:sz w:val="24"/>
          <w:szCs w:val="24"/>
        </w:rPr>
        <w:t>snamdeo@ch.iitr.ac.in (SN), pm@cy.iitr.ac.in (PM)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LIST OF FIGURES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S1. </w:t>
      </w:r>
      <w:r>
        <w:rPr>
          <w:rFonts w:cs="Times New Roman" w:ascii="Times New Roman" w:hAnsi="Times New Roman"/>
          <w:sz w:val="24"/>
          <w:szCs w:val="24"/>
        </w:rPr>
        <w:t>Structural schematic diagram of gradient boosting decision tree (GBDT) model. Information using Shahani et al.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S2. </w:t>
      </w:r>
      <w:r>
        <w:rPr>
          <w:rFonts w:cs="Times New Roman" w:ascii="Times New Roman" w:hAnsi="Times New Roman"/>
          <w:sz w:val="24"/>
          <w:szCs w:val="24"/>
        </w:rPr>
        <w:t>Structural schematic diagram of extreme gradient boosting (XGB) model. Information using Shahani et al.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S3. </w:t>
      </w:r>
      <w:r>
        <w:rPr>
          <w:rFonts w:cs="Times New Roman" w:ascii="Times New Roman" w:hAnsi="Times New Roman"/>
          <w:sz w:val="24"/>
          <w:szCs w:val="24"/>
        </w:rPr>
        <w:t>Structural schematic diagram of light boost gradient machine (LBGM). Information using Shahani et al.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S4. </w:t>
      </w:r>
      <w:r>
        <w:rPr>
          <w:rFonts w:cs="Times New Roman" w:ascii="Times New Roman" w:hAnsi="Times New Roman"/>
          <w:sz w:val="24"/>
          <w:szCs w:val="24"/>
        </w:rPr>
        <w:t>Structural schematic diagram of random forest (RF) model. Information using Shahani et al.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S5. </w:t>
      </w:r>
      <w:r>
        <w:rPr>
          <w:rFonts w:cs="Times New Roman" w:ascii="Times New Roman" w:hAnsi="Times New Roman"/>
          <w:sz w:val="24"/>
          <w:szCs w:val="24"/>
        </w:rPr>
        <w:t>Structural schematic diagram of categorical boosting (Catboost). Information using Shahani et al.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S6. </w:t>
      </w:r>
      <w:r>
        <w:rPr>
          <w:rFonts w:cs="Times New Roman" w:ascii="Times New Roman" w:hAnsi="Times New Roman"/>
          <w:sz w:val="24"/>
          <w:szCs w:val="24"/>
        </w:rPr>
        <w:t xml:space="preserve">Structural schematic diagram of adaptive boosting (Adaboost). Information using </w:t>
      </w:r>
      <w:r>
        <w:rPr>
          <w:rFonts w:cs="Times New Roman" w:ascii="Times New Roman" w:hAnsi="Times New Roman"/>
          <w:sz w:val="24"/>
        </w:rPr>
        <w:t>Czarnecki</w:t>
      </w:r>
      <w:r>
        <w:rPr>
          <w:rFonts w:cs="Times New Roman" w:ascii="Times New Roman" w:hAnsi="Times New Roman"/>
          <w:sz w:val="24"/>
          <w:szCs w:val="24"/>
        </w:rPr>
        <w:t xml:space="preserve"> et al. [2].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S7. </w:t>
      </w:r>
      <w:r>
        <w:rPr>
          <w:rFonts w:cs="Times New Roman" w:ascii="Times New Roman" w:hAnsi="Times New Roman"/>
          <w:sz w:val="24"/>
          <w:szCs w:val="24"/>
        </w:rPr>
        <w:t>Structural schematic diagram of Box-plot.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S8. </w:t>
      </w:r>
      <w:r>
        <w:rPr>
          <w:rFonts w:cs="Times New Roman" w:ascii="Times New Roman" w:hAnsi="Times New Roman"/>
          <w:sz w:val="24"/>
          <w:szCs w:val="24"/>
        </w:rPr>
        <w:t>Structural schematic diagram of 5-fold cross validation.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LIST OF TABLES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S1.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gradient boosting decision tree (GBDT) [3].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S2.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light boost gradient machine (LBGM) [3].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S3.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extreme gradient boosting (XGB) [3].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S4.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random forest (RF) [3].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S5.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categorical boosting (Catboost) and adaptive boosting (Adaboost) [3].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Table S6. </w:t>
      </w:r>
      <w:r>
        <w:rPr>
          <w:rFonts w:cs="Times New Roman" w:ascii="Times New Roman" w:hAnsi="Times New Roman"/>
          <w:bCs/>
          <w:sz w:val="24"/>
          <w:szCs w:val="24"/>
        </w:rPr>
        <w:t>Data used for during machine learning (ML) implemented exploration of adsorption mechanism of carbon dioxide (CO</w:t>
      </w:r>
      <w:r>
        <w:rPr>
          <w:rFonts w:cs="Times New Roman" w:ascii="Times New Roman" w:hAnsi="Times New Roman"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Cs/>
          <w:sz w:val="24"/>
          <w:szCs w:val="24"/>
        </w:rPr>
        <w:t>) onto porous carbons. This data is represented on the basis of porous carbon’s properties (surface area (SA) (m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bCs/>
          <w:sz w:val="24"/>
          <w:szCs w:val="24"/>
        </w:rPr>
        <w:t>/g), TPV (total pore volume) (cm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3</w:t>
      </w:r>
      <w:r>
        <w:rPr>
          <w:rFonts w:cs="Times New Roman" w:ascii="Times New Roman" w:hAnsi="Times New Roman"/>
          <w:bCs/>
          <w:sz w:val="24"/>
          <w:szCs w:val="24"/>
        </w:rPr>
        <w:t>/g), MPV (micro-pore volume) (cm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3</w:t>
      </w:r>
      <w:r>
        <w:rPr>
          <w:rFonts w:cs="Times New Roman" w:ascii="Times New Roman" w:hAnsi="Times New Roman"/>
          <w:bCs/>
          <w:sz w:val="24"/>
          <w:szCs w:val="24"/>
        </w:rPr>
        <w:t>/g), C%, H%, N%, O%), CO</w:t>
      </w:r>
      <w:r>
        <w:rPr>
          <w:rFonts w:cs="Times New Roman" w:ascii="Times New Roman" w:hAnsi="Times New Roman"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Cs/>
          <w:sz w:val="24"/>
          <w:szCs w:val="24"/>
        </w:rPr>
        <w:t xml:space="preserve"> adsorption conditions (</w:t>
      </w:r>
      <w:r>
        <w:rPr>
          <w:rFonts w:cs="Times New Roman" w:ascii="Times New Roman" w:hAnsi="Times New Roman"/>
          <w:sz w:val="24"/>
          <w:szCs w:val="24"/>
        </w:rPr>
        <w:t>T (℃), P (bar)),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uptake (mmol/g). Porous carbon’s properties and adsorption conditions are the input features,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uptake is the predicted variable.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9390" cy="37941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S1. </w:t>
      </w:r>
      <w:r>
        <w:rPr>
          <w:rFonts w:cs="Times New Roman" w:ascii="Times New Roman" w:hAnsi="Times New Roman"/>
          <w:sz w:val="24"/>
          <w:szCs w:val="24"/>
        </w:rPr>
        <w:t>Structural schematic diagram of gradient boosting decision tree (GBDT) model. Information using Shahani et al. [1].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35015" cy="3606165"/>
            <wp:effectExtent l="0" t="0" r="0" b="0"/>
            <wp:docPr id="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2954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S2. </w:t>
      </w:r>
      <w:r>
        <w:rPr>
          <w:rFonts w:cs="Times New Roman" w:ascii="Times New Roman" w:hAnsi="Times New Roman"/>
          <w:sz w:val="24"/>
          <w:szCs w:val="24"/>
        </w:rPr>
        <w:t>Structural schematic diagram of extreme gradient boosting (XGB) model. Information using Shahani et al. [1].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236347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Fig. S3. </w:t>
      </w:r>
      <w:r>
        <w:rPr>
          <w:rFonts w:cs="Times New Roman" w:ascii="Times New Roman" w:hAnsi="Times New Roman"/>
          <w:sz w:val="24"/>
          <w:szCs w:val="24"/>
        </w:rPr>
        <w:t>Structural schematic diagram of light boost gradient machine (LBGM). Information using Shahani et al. [1].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5548630" cy="345186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7149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S4. </w:t>
      </w:r>
      <w:r>
        <w:rPr>
          <w:rFonts w:cs="Times New Roman" w:ascii="Times New Roman" w:hAnsi="Times New Roman"/>
          <w:sz w:val="24"/>
          <w:szCs w:val="24"/>
        </w:rPr>
        <w:t>Structural schematic diagram of random forest (RF) model. Information using Shahani et al. [1].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716905" cy="319341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67500" t="0" r="8159609" b="9237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S5. </w:t>
      </w:r>
      <w:r>
        <w:rPr>
          <w:rFonts w:cs="Times New Roman" w:ascii="Times New Roman" w:hAnsi="Times New Roman"/>
          <w:sz w:val="24"/>
          <w:szCs w:val="24"/>
        </w:rPr>
        <w:t>Structural schematic diagram of categorical boosting (Catboost). Information using Shahani et al. [1].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322516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S6. </w:t>
      </w:r>
      <w:r>
        <w:rPr>
          <w:rFonts w:cs="Times New Roman" w:ascii="Times New Roman" w:hAnsi="Times New Roman"/>
          <w:sz w:val="24"/>
          <w:szCs w:val="24"/>
        </w:rPr>
        <w:t xml:space="preserve">Structural schematic diagram of adaptive boosting (Adaboost). Information using </w:t>
      </w:r>
      <w:r>
        <w:rPr>
          <w:rFonts w:cs="Times New Roman" w:ascii="Times New Roman" w:hAnsi="Times New Roman"/>
          <w:sz w:val="24"/>
        </w:rPr>
        <w:t>Czarnecki</w:t>
      </w:r>
      <w:r>
        <w:rPr>
          <w:rFonts w:cs="Times New Roman" w:ascii="Times New Roman" w:hAnsi="Times New Roman"/>
          <w:sz w:val="24"/>
          <w:szCs w:val="24"/>
        </w:rPr>
        <w:t xml:space="preserve"> et al. [2].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8195" cy="3790315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635391" t="6136111" r="11367266" b="245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S7. </w:t>
      </w:r>
      <w:r>
        <w:rPr>
          <w:rFonts w:cs="Times New Roman" w:ascii="Times New Roman" w:hAnsi="Times New Roman"/>
          <w:sz w:val="24"/>
          <w:szCs w:val="24"/>
        </w:rPr>
        <w:t>Structural schematic diagram of box-plot.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894705" cy="2762250"/>
            <wp:effectExtent l="0" t="0" r="0" b="0"/>
            <wp:docPr id="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21641" t="7448056" r="1922109" b="835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Fig. S8. </w:t>
      </w:r>
      <w:r>
        <w:rPr>
          <w:rFonts w:cs="Times New Roman" w:ascii="Times New Roman" w:hAnsi="Times New Roman"/>
          <w:sz w:val="24"/>
          <w:szCs w:val="24"/>
        </w:rPr>
        <w:t>Structural schematic diagram of 5-fold cross validation.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S1.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gradient boosting decision tree (GBDT) [3].</w:t>
      </w:r>
    </w:p>
    <w:tbl>
      <w:tblPr>
        <w:tblStyle w:val="TableGrid"/>
        <w:tblW w:w="60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38"/>
        <w:gridCol w:w="2552"/>
      </w:tblGrid>
      <w:tr>
        <w:trPr/>
        <w:tc>
          <w:tcPr>
            <w:tcW w:w="3538" w:type="dxa"/>
            <w:cnfStyle w:val="101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Parameters</w:t>
            </w:r>
          </w:p>
        </w:tc>
        <w:tc>
          <w:tcPr>
            <w:tcW w:w="2552" w:type="dxa"/>
            <w:cnfStyle w:val="100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Value</w:t>
            </w:r>
          </w:p>
        </w:tc>
      </w:tr>
      <w:tr>
        <w:trPr/>
        <w:tc>
          <w:tcPr>
            <w:tcW w:w="3538" w:type="dxa"/>
            <w:cnfStyle w:val="001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alpha</w:t>
            </w:r>
          </w:p>
        </w:tc>
        <w:tc>
          <w:tcPr>
            <w:tcW w:w="2552" w:type="dxa"/>
            <w:cnfStyle w:val="000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0.9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ccp_alpha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criterion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friedman_mse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init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learning_rate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0.05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loss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squared_error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max_depth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max_features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0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max_leaf_nodes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min_impurity_decrease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min_samples_leaf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min_samples_split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min_weight_fraction_leaf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n_estimators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600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n_iter_no_change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random_state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42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subsample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0.5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tol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0.0001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validation_fraction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0.1</w:t>
            </w:r>
          </w:p>
        </w:tc>
      </w:tr>
      <w:tr>
        <w:trPr/>
        <w:tc>
          <w:tcPr>
            <w:tcW w:w="353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verbose</w:t>
            </w:r>
          </w:p>
        </w:tc>
        <w:tc>
          <w:tcPr>
            <w:tcW w:w="2552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3538" w:type="dxa"/>
            <w:cnfStyle w:val="001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warm_start</w:t>
            </w:r>
          </w:p>
        </w:tc>
        <w:tc>
          <w:tcPr>
            <w:tcW w:w="2552" w:type="dxa"/>
            <w:cnfStyle w:val="000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False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S2.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light boost gradient machine (LBGM) [3].</w:t>
      </w:r>
    </w:p>
    <w:tbl>
      <w:tblPr>
        <w:tblStyle w:val="TableGrid"/>
        <w:tblW w:w="60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7"/>
        <w:gridCol w:w="1583"/>
      </w:tblGrid>
      <w:tr>
        <w:trPr/>
        <w:tc>
          <w:tcPr>
            <w:tcW w:w="4507" w:type="dxa"/>
            <w:cnfStyle w:val="101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Parameters</w:t>
            </w:r>
          </w:p>
        </w:tc>
        <w:tc>
          <w:tcPr>
            <w:tcW w:w="1583" w:type="dxa"/>
            <w:cnfStyle w:val="100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Value</w:t>
            </w:r>
          </w:p>
        </w:tc>
      </w:tr>
      <w:tr>
        <w:trPr/>
        <w:tc>
          <w:tcPr>
            <w:tcW w:w="4507" w:type="dxa"/>
            <w:cnfStyle w:val="001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boosting_type</w:t>
            </w:r>
          </w:p>
        </w:tc>
        <w:tc>
          <w:tcPr>
            <w:tcW w:w="1583" w:type="dxa"/>
            <w:cnfStyle w:val="000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gbdt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class_weight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colsample_bytree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1.0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importance_type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split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learning_rate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0.05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max_depth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10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min_child_samples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min_child_weight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0.001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min_split_gain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n_estimators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600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n_jobs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-1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num_leaves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objective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random_state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reg_alpha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reg_lambda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0.8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silent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warn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subsample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0.1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subsample_for_bin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200000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subsample_freq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S3.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extreme gradient boosting (XGB) [3].</w:t>
      </w:r>
    </w:p>
    <w:tbl>
      <w:tblPr>
        <w:tblStyle w:val="TableGrid"/>
        <w:tblW w:w="72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8"/>
        <w:gridCol w:w="2717"/>
      </w:tblGrid>
      <w:tr>
        <w:trPr/>
        <w:tc>
          <w:tcPr>
            <w:tcW w:w="4508" w:type="dxa"/>
            <w:cnfStyle w:val="101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Parameters</w:t>
            </w:r>
          </w:p>
        </w:tc>
        <w:tc>
          <w:tcPr>
            <w:tcW w:w="2717" w:type="dxa"/>
            <w:cnfStyle w:val="100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Value</w:t>
            </w:r>
          </w:p>
        </w:tc>
      </w:tr>
      <w:tr>
        <w:trPr/>
        <w:tc>
          <w:tcPr>
            <w:tcW w:w="4508" w:type="dxa"/>
            <w:cnfStyle w:val="001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objective</w:t>
            </w:r>
          </w:p>
        </w:tc>
        <w:tc>
          <w:tcPr>
            <w:tcW w:w="2717" w:type="dxa"/>
            <w:cnfStyle w:val="000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reg:squarederror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base_score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0.5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booster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gbtree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callbacks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colsample_bylevel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colsample_bynode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colsample_bytree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early_stopping_rounds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enable_categorical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false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eval_metric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rmse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gamma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gpu_id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-1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grow_policy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depthwise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importance_type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learning_rate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0.3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max_bin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256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max_cat_to_onehot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4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max_delta_step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max_depth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4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max_leaves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min_child_weight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missing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nan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monotone_constraints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()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n_estimators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300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n_jobs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num_parallel_tree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predictor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auto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random_state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60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reg_alpha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reg_lambda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sampling_method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uniform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scale_pos_weight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subsample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0.5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tree_method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exact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validate_parameters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8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verbosity</w:t>
            </w:r>
          </w:p>
        </w:tc>
        <w:tc>
          <w:tcPr>
            <w:tcW w:w="2717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8" w:type="dxa"/>
            <w:cnfStyle w:val="001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seed</w:t>
            </w:r>
          </w:p>
        </w:tc>
        <w:tc>
          <w:tcPr>
            <w:tcW w:w="2717" w:type="dxa"/>
            <w:cnfStyle w:val="000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60</w:t>
            </w:r>
          </w:p>
        </w:tc>
      </w:tr>
    </w:tbl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1605" w:leader="none"/>
        </w:tabs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S4.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random forest (RF) [3].</w:t>
      </w:r>
    </w:p>
    <w:tbl>
      <w:tblPr>
        <w:tblStyle w:val="TableGrid"/>
        <w:tblW w:w="60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7"/>
        <w:gridCol w:w="1583"/>
      </w:tblGrid>
      <w:tr>
        <w:trPr/>
        <w:tc>
          <w:tcPr>
            <w:tcW w:w="4507" w:type="dxa"/>
            <w:cnfStyle w:val="101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Parameters</w:t>
            </w:r>
          </w:p>
        </w:tc>
        <w:tc>
          <w:tcPr>
            <w:tcW w:w="1583" w:type="dxa"/>
            <w:cnfStyle w:val="100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IN" w:eastAsia="en-US" w:bidi="ar-SA"/>
              </w:rPr>
              <w:t>Value</w:t>
            </w:r>
          </w:p>
        </w:tc>
      </w:tr>
      <w:tr>
        <w:trPr/>
        <w:tc>
          <w:tcPr>
            <w:tcW w:w="4507" w:type="dxa"/>
            <w:cnfStyle w:val="001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bootstrap</w:t>
            </w:r>
          </w:p>
        </w:tc>
        <w:tc>
          <w:tcPr>
            <w:tcW w:w="1583" w:type="dxa"/>
            <w:cnfStyle w:val="000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true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ccp_alpha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criterion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squared_error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max_depth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max_features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sqrt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max_leaf_nodes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max_samples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min_impurity_decrease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min_samples_leaf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min_samples_split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min_weight_fraction_leaf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n_estimators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300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n_jobs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oob_score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false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random_state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507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verbose</w:t>
            </w:r>
          </w:p>
        </w:tc>
        <w:tc>
          <w:tcPr>
            <w:tcW w:w="1583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</w:t>
            </w:r>
          </w:p>
        </w:tc>
      </w:tr>
      <w:tr>
        <w:trPr/>
        <w:tc>
          <w:tcPr>
            <w:tcW w:w="4507" w:type="dxa"/>
            <w:cnfStyle w:val="001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warm_start</w:t>
            </w:r>
          </w:p>
        </w:tc>
        <w:tc>
          <w:tcPr>
            <w:tcW w:w="1583" w:type="dxa"/>
            <w:cnfStyle w:val="000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60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Table S5.</w:t>
      </w:r>
      <w:r>
        <w:rPr>
          <w:rFonts w:cs="Times New Roman" w:ascii="Times New Roman" w:hAnsi="Times New Roman"/>
          <w:sz w:val="24"/>
          <w:szCs w:val="24"/>
        </w:rPr>
        <w:t xml:space="preserve"> Parameters of the machine learning (ML) model: categorical boosting (Catboost) and adaptive boosting (Adaboost) [3].</w:t>
      </w:r>
    </w:p>
    <w:tbl>
      <w:tblPr>
        <w:tblStyle w:val="TableGrid"/>
        <w:tblW w:w="65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56"/>
        <w:gridCol w:w="1559"/>
      </w:tblGrid>
      <w:tr>
        <w:trPr/>
        <w:tc>
          <w:tcPr>
            <w:tcW w:w="6515" w:type="dxa"/>
            <w:gridSpan w:val="2"/>
            <w:cnfStyle w:val="1010000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Catboost</w:t>
            </w:r>
          </w:p>
        </w:tc>
      </w:tr>
      <w:tr>
        <w:trPr/>
        <w:tc>
          <w:tcPr>
            <w:tcW w:w="4956" w:type="dxa"/>
            <w:cnfStyle w:val="0010001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loss_function</w:t>
            </w:r>
          </w:p>
        </w:tc>
        <w:tc>
          <w:tcPr>
            <w:tcW w:w="1559" w:type="dxa"/>
            <w:cnfStyle w:val="00000010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RMSE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515" w:type="dxa"/>
            <w:gridSpan w:val="2"/>
            <w:cnfStyle w:val="001000010000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Adaboost</w:t>
            </w:r>
          </w:p>
        </w:tc>
      </w:tr>
      <w:tr>
        <w:trPr/>
        <w:tc>
          <w:tcPr>
            <w:tcW w:w="4956" w:type="dxa"/>
            <w:cnfStyle w:val="001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base_estimator</w:t>
            </w:r>
          </w:p>
        </w:tc>
        <w:tc>
          <w:tcPr>
            <w:tcW w:w="1559" w:type="dxa"/>
            <w:cnfStyle w:val="000000100000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  <w:tr>
        <w:trPr/>
        <w:tc>
          <w:tcPr>
            <w:tcW w:w="4956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learning_rate</w:t>
            </w:r>
          </w:p>
        </w:tc>
        <w:tc>
          <w:tcPr>
            <w:tcW w:w="1559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0.01</w:t>
            </w:r>
          </w:p>
        </w:tc>
      </w:tr>
      <w:tr>
        <w:trPr/>
        <w:tc>
          <w:tcPr>
            <w:tcW w:w="4956" w:type="dxa"/>
            <w:cnfStyle w:val="001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loss</w:t>
            </w:r>
          </w:p>
        </w:tc>
        <w:tc>
          <w:tcPr>
            <w:tcW w:w="1559" w:type="dxa"/>
            <w:cnfStyle w:val="00000010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exponential</w:t>
            </w:r>
          </w:p>
        </w:tc>
      </w:tr>
      <w:tr>
        <w:trPr/>
        <w:tc>
          <w:tcPr>
            <w:tcW w:w="4956" w:type="dxa"/>
            <w:cnfStyle w:val="001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n_estimators</w:t>
            </w:r>
          </w:p>
        </w:tc>
        <w:tc>
          <w:tcPr>
            <w:tcW w:w="1559" w:type="dxa"/>
            <w:cnfStyle w:val="00000001000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200</w:t>
            </w:r>
          </w:p>
        </w:tc>
      </w:tr>
      <w:tr>
        <w:trPr/>
        <w:tc>
          <w:tcPr>
            <w:tcW w:w="4956" w:type="dxa"/>
            <w:cnfStyle w:val="001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random_state</w:t>
            </w:r>
          </w:p>
        </w:tc>
        <w:tc>
          <w:tcPr>
            <w:tcW w:w="1559" w:type="dxa"/>
            <w:cnfStyle w:val="000000100000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none</w:t>
            </w:r>
          </w:p>
        </w:tc>
      </w:tr>
    </w:tbl>
    <w:p>
      <w:pPr>
        <w:sectPr>
          <w:footerReference w:type="default" r:id="rId10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Table S6. </w:t>
      </w:r>
      <w:r>
        <w:rPr>
          <w:rFonts w:cs="Times New Roman" w:ascii="Times New Roman" w:hAnsi="Times New Roman"/>
          <w:bCs/>
          <w:sz w:val="24"/>
          <w:szCs w:val="24"/>
        </w:rPr>
        <w:t>Data used for during machine learning (ML) implemented exploration of adsorption mechanism of carbon dioxide (CO</w:t>
      </w:r>
      <w:r>
        <w:rPr>
          <w:rFonts w:cs="Times New Roman" w:ascii="Times New Roman" w:hAnsi="Times New Roman"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Cs/>
          <w:sz w:val="24"/>
          <w:szCs w:val="24"/>
        </w:rPr>
        <w:t>) onto porous carbons. This data is represented on the basis of porous carbon’s properties (surface area (SA) (m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bCs/>
          <w:sz w:val="24"/>
          <w:szCs w:val="24"/>
        </w:rPr>
        <w:t>/g), TPV (total pore volume) (cm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3</w:t>
      </w:r>
      <w:r>
        <w:rPr>
          <w:rFonts w:cs="Times New Roman" w:ascii="Times New Roman" w:hAnsi="Times New Roman"/>
          <w:bCs/>
          <w:sz w:val="24"/>
          <w:szCs w:val="24"/>
        </w:rPr>
        <w:t>/g), MPV (micro-pore volume) (cm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3</w:t>
      </w:r>
      <w:r>
        <w:rPr>
          <w:rFonts w:cs="Times New Roman" w:ascii="Times New Roman" w:hAnsi="Times New Roman"/>
          <w:bCs/>
          <w:sz w:val="24"/>
          <w:szCs w:val="24"/>
        </w:rPr>
        <w:t>/g), C%, H%, N%, O%), CO</w:t>
      </w:r>
      <w:r>
        <w:rPr>
          <w:rFonts w:cs="Times New Roman" w:ascii="Times New Roman" w:hAnsi="Times New Roman"/>
          <w:bCs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Cs/>
          <w:sz w:val="24"/>
          <w:szCs w:val="24"/>
        </w:rPr>
        <w:t xml:space="preserve"> adsorption conditions (</w:t>
      </w:r>
      <w:r>
        <w:rPr>
          <w:rFonts w:cs="Times New Roman" w:ascii="Times New Roman" w:hAnsi="Times New Roman"/>
          <w:sz w:val="24"/>
          <w:szCs w:val="24"/>
        </w:rPr>
        <w:t>T (℃), P (bar)),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uptake (mmol/g). Porous carbon’s properties and adsorption conditions are the input features,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uptake is the predicted variable.</w:t>
      </w:r>
    </w:p>
    <w:tbl>
      <w:tblPr>
        <w:tblStyle w:val="TableGrid"/>
        <w:tblW w:w="259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82"/>
        <w:gridCol w:w="2851"/>
        <w:gridCol w:w="1999"/>
        <w:gridCol w:w="2432"/>
        <w:gridCol w:w="2384"/>
        <w:gridCol w:w="1569"/>
        <w:gridCol w:w="1480"/>
        <w:gridCol w:w="1803"/>
        <w:gridCol w:w="1198"/>
        <w:gridCol w:w="1167"/>
        <w:gridCol w:w="1201"/>
        <w:gridCol w:w="1434"/>
        <w:gridCol w:w="1016"/>
        <w:gridCol w:w="1432"/>
        <w:gridCol w:w="1818"/>
        <w:gridCol w:w="1060"/>
      </w:tblGrid>
      <w:tr>
        <w:trPr/>
        <w:tc>
          <w:tcPr>
            <w:tcW w:w="1082" w:type="dxa"/>
            <w:cnfStyle w:val="101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51" w:type="dxa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99" w:type="dxa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32" w:type="dxa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236" w:type="dxa"/>
            <w:gridSpan w:val="8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Porous carbon’s properties</w:t>
            </w:r>
          </w:p>
        </w:tc>
        <w:tc>
          <w:tcPr>
            <w:tcW w:w="2448" w:type="dxa"/>
            <w:gridSpan w:val="2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Adsorption conditions</w:t>
            </w:r>
          </w:p>
        </w:tc>
        <w:tc>
          <w:tcPr>
            <w:tcW w:w="1818" w:type="dxa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0" w:type="dxa"/>
            <w:cnfStyle w:val="1000000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S. No.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Feedstock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Heat treatment (℃)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Activation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Material type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SA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(m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vertAlign w:val="superscript"/>
                <w:lang w:val="en-IN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/g)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TPV (cm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vertAlign w:val="superscript"/>
                <w:lang w:val="en-IN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/g)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MPV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(cm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vertAlign w:val="superscript"/>
                <w:lang w:val="en-IN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/g)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C%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H%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N%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O%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T (℃)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P (bar)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CO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vertAlign w:val="subscript"/>
                <w:lang w:val="en-IN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 xml:space="preserve"> uptake (mmol/g)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IN" w:eastAsia="en-US" w:bidi="ar-SA"/>
              </w:rPr>
              <w:t>Ref.</w:t>
            </w:r>
          </w:p>
        </w:tc>
      </w:tr>
      <w:tr>
        <w:trPr/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Wood chip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800- 1000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1281.6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69.22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2.63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[4]</w:t>
            </w:r>
          </w:p>
        </w:tc>
      </w:tr>
      <w:tr>
        <w:trPr/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 and 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1012.6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64.83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30.77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2.59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/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Wood chip and chicken manure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1408.8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72.41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23.59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2.92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 and 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1403.9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69.51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24.94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2.44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Food waste and wood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841.3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68.43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31.09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 and 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667.4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61.32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38.15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Spent coffee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3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70.86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14.72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83.88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1259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87.56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1476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91.62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1692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94.51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2337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82.66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70.86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14.72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83.88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1259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87.56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1476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91.62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1692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94.51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2337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82.66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Pine sawdust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1728.66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2279.52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96.96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15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2330.89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87.57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Date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2112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82.84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14.35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3255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79.46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3337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9.03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82.49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14.67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2367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2844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73.43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23.88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Bee collected pollen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80.82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15.36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[9]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76.25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21.86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77.57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20.89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79.37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19.45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80.82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15.36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76.25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21.86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77.57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20.89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79.37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19.45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1460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Biomass tar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Cao/KOH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82.85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1790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93.76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95.14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96.75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1684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95.25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82.85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1790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93.76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95.14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96.75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1684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95.25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82.85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1790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93.76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95.14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96.75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1684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95.25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Flesh by sunflower receptacle and sunflower stalk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3072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91.02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[11]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2730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77.12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3072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91.02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77.12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21.05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Biomass tar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[12]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84.57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90.49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88.44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8.53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89.93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1857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6.67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84.57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90.49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7.04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88.44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8.53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89.93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1857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92.01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6.67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84.57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90.49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88.44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8.53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89.93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1857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6.67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Banana stems and fiber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[13]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Cellulose fiber and wood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Steam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[14]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246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Corn stover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57.46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38.51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1539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36.76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2442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60.41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35.44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7.14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2225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31.74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1543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66.56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29.59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2201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56.55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40.11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2170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54.94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42.55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76.91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2132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59.22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36.67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1862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58.22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37.77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6.32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Lotus stem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2091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90.49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9.51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[16]</w:t>
            </w:r>
          </w:p>
        </w:tc>
      </w:tr>
      <w:tr>
        <w:trPr>
          <w:trHeight w:val="288" w:hRule="exac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288" w:hRule="exac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2091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90.49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9.51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288" w:hRule="exac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Sawdust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1511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2163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2610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265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1511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2163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2610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Vine shoot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 xml:space="preserve"> and 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[18]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538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1032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1439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1101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1305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1671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538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1032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1439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1101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1305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1671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Arundo donax stem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[19]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1122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44.57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Black locust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Steam and 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Empty fruit bunch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150-350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[21]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2239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1720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1322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2100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Gelatin and starch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450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1714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12.76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[22]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21.12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1957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19.57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1294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74.48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70.85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Rice husk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22.85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[23]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1041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21.52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26.14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22.85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1041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21.52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26.14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22.85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1041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21.52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26.14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22.85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1041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21.52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26.14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Peanut shell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550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1713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9.92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[24]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8.71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1871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1713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9.92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8.71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7.12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1871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Pine nut shell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Macadamia nut shell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400-700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[26]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489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441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434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Agar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Zn(NO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)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86.73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10.55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10.02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1033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87.71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9.71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90.01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1142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6.65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93.18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Hazelnut shell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NaNH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85.21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1991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87.21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1833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86.24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86.32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86.74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2185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87.02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1343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87.65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2318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88.34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88.21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Walnut shell powder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39.56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[29]</w:t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22.46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51.21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42.38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1606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71.19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21.91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1741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64.43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30.16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39.56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2251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70.44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3079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80.49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16.23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22.46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2556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81.84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51.67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45.01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51.21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42.38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1606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71.19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21.91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1741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30.16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39.56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2251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70.44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3079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80.49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16.23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22.46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2556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81.84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21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51.67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45.01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Walnut shell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39.56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2354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22.46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1144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68.18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25.45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1813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80.95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17.26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46.52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42.61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481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8.75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1144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68.18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25.45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1813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80.95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17.26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46.52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42.61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481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8.75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Oil residue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NaNH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57.89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35.09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[31]</w:t>
            </w:r>
          </w:p>
        </w:tc>
      </w:tr>
      <w:tr>
        <w:trPr>
          <w:trHeight w:val="-8234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56.5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36.39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60.87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30.29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2113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61.07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-9136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1508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62.98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288" w:hRule="exac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2148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64.49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5.57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28.24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Glucose biomass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83.84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[32]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75.15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67.78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11.48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Shell of tea seed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1065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[33]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1188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66.21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29.44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61.47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33.92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48.26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46.58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Water chestnut shell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71.42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22.47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[34]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1450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73.24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20.51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1310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74.25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19.16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76.21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18.05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2412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18.91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2596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73.58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20.27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1416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77.43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17.73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2615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76.52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18.27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2446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76.03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17.99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Poplar catkins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ZnCl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1361.9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87.23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9.26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1005.4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87.42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8.89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1455.1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88.57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1248.7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89.74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1272.4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89.23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7.86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Walnut shell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NaNH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419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54.24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38.6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[36]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63.53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24.85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52.55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40.58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72.63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1721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61.53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34.48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419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54.24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38.6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63.53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24.85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52.55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40.58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72.63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-96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1721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61.53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34.48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34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Glucose-d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65.54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12.17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64.89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11.93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21.03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1398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22.63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1412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62.21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1734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9.24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14.34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1960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8.56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15.77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2167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72.68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18.72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16.63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2394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81.51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10.66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2659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13.41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77.05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2470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76.92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15.92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65.54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12.17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1267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64.89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11.93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21.03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1398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22.63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1412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62.21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1734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9.24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14.34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1960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8.56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15.77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2167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72.68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18.72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16.63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2394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81.51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10.66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2659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13.41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77.05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2470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76.92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15.92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35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Palm kernel shell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90.23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7.76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10.87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1185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90.97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5.54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88.31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9.53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92.63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88.52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8.24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1700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86.45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9.97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Lignin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3172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87.72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12.08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[39]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3020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80.03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19.34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12.26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89.55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9.35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2473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87.81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11.02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37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Pineapple waste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84.82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224.1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86.06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422.8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80.01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17.31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302.7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81.12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16.83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328.2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84.98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13.23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644.9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73.52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85.04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13.36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397.3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83.29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14.96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1076.3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86.31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13.22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Glucose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77.91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[41]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81.12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10.86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84.91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2958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77.91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81.12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10.86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84.91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2958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77.91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81.12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10.86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84.91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7.18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2958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39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Glucose-d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4.18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[42]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1780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10.56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4.66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12.36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3.89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11.03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4.95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6.11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1780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10.56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7.77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12.36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7.43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11.03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8.07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Sugarcane bagasse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83.16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[43]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83.26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13.81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1113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83.59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1024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83.02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13.84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84.19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41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Lotus stalks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NaNH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67.03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26.86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[44]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68.32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25.12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67.65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1105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70.25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2053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71.37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22.95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70.98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22.93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1113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73.56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21.74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2264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74.32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20.63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74.98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19.69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42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Phenolic resins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NaNH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14.79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1115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79.36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12.85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15.42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79.32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14.42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1432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78.62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15.37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1569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77.65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14.17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85.36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1288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83.69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10.76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81.34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2155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76.96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16.01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43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Coconut shell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3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86.59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9.71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[46]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87.48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1324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91.35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6.31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91.08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1354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88.71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1329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91.35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6.96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93.24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tabs>
                <w:tab w:val="clear" w:pos="720"/>
                <w:tab w:val="left" w:pos="20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44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Argan hard shell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 and NaOH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2251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85.08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5.51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[47]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82.68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1463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67.74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9.07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23.19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-5035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82.14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/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45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Olive stone, coffee, almond shell, grape seed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[48]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1248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534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535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362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82.6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46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Black gram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76.95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15.84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[49]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1258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83.63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9.26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1697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84.08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1987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990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79.99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12.35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1428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14.68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75.76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18.06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2086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91.38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78.46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13.99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1446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1952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71.34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22.11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2305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16.89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956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76.95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15.84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1258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83.63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9.26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1697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84.08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1987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990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79.99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12.35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1428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78.36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14.68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75.76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18.06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2086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91.38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78.46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13.99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1446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1952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71.34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22.11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2305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0.13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16.89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47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Glucose-d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3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66.51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12.27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18.89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65.31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12.21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63.67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1754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69.83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10.51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17.52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1699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70.32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9.54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18.16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71.66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7.74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18.63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2572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14.17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80.32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2827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84.24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1020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73.65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23.88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66.51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12.27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18.89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1005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65.31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12.21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63.67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1754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69.83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10.51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17.52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1699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70.32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9.54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18.16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1824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71.66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7.74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18.63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2572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14.17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80.32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2827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84.24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4.69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9.42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1020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73.65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23.88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48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Lignin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1788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40.4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[51]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2957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1788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40.4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2957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33.8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49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Canes biomass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80.03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13.53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[52]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79.26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8.12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74.73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15.88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0.02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80.03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13.53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982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79.26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8.12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74.73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15.88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tabs>
                <w:tab w:val="clear" w:pos="720"/>
                <w:tab w:val="left" w:pos="368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Pigskin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[53]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8.21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2731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1165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23.25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8.21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2731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2799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51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Chitosan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550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[54]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29.4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32.8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29.4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907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32.8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52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Rotten strawberries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935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72.21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21.56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1441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68.99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23.64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1117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78.02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14.16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70.16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21.72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1408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76.23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17.57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1577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16.11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53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Lignin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2922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[56]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2779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tabs>
                <w:tab w:val="clear" w:pos="720"/>
                <w:tab w:val="left" w:pos="234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54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Soya chunks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NaOH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1072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55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Arundo donax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ZnCl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1863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[58]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1340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1420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56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Coca cola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1082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[59]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1994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1405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1.01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57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Waste wool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447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0.18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11.25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15.48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1010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70.73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23.06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1352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69.65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24.79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tabs>
                <w:tab w:val="clear" w:pos="720"/>
                <w:tab w:val="left" w:pos="435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1420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67.47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58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Coconut shell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1023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12.93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[61]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1383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1604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13.46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1178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1535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16.57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15.01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1550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13.91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1596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1937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0.84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12.05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1513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16.57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1012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8.01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15.54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Banana peel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bscript"/>
                <w:lang w:val="en-IN" w:eastAsia="en-IN" w:bidi="ar-SA"/>
              </w:rPr>
              <w:t>2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1426.1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43.5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50.1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[62]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62.51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32.49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  <w:t>1.90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Black locust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76.38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[63]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76.38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7.19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76.38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2511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76.38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7.21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Bark stem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1393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87.48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10.91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[64]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1759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89.48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9.09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1229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92.59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62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Coconut shell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64.2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6.16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25.62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[65]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1135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21.29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1850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69.8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22.89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1562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2.69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24.47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70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22.77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0.79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71.2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22.76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2322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3.19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19.91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2521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2349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2.03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18.45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1967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79.2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16.77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2690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17.54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2599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1.33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2.11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15.98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63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Fallen leaves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600</w:t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[66]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1600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4.41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2230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1950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1360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81.3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1600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0.54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1.41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1630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85.5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2230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86.5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1950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84.8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11.9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0.15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</w:t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Human hair</w:t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1230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66.41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8.33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25.26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[67]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2380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77.93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17.13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2700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1.33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80.95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3.45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4.27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tabs>
                <w:tab w:val="clear" w:pos="720"/>
                <w:tab w:val="left" w:pos="519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Polyacrylonitrile fiber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64.76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13.05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[68]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1338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66.54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18.13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3.57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9.84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1980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73.15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2362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14.08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2430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74.98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2406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87.07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2672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88.06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2644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87.68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2112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92.23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91.56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94.33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0.45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64.76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13.05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4.19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1338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0.49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66.54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11.32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18.13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1655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0.63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68.54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9.84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16.7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5.61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1980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73.15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7.38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14.65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6.01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2362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75.36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6.21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14.08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6.37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2430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74.98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3.98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5.36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15.68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5.23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2406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1.08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87.07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3.16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3.89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2672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1.58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88.06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3.04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5.03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2644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1.32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87.68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3.24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2.65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5.47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2112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0.92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92.23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3.56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2.83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5.72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2747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1.62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1.19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91.56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3.63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4.94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2436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1.57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1.15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94.33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1.78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Potassium bitartrate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600-800</w:t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KC4H5O6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Hierarchical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557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73.05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24.15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[69]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744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74.89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22.12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3.29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76.74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1156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78.87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18.43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83.69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2.01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13.48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557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73.05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24.15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3.58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744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0.27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74.89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2.35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22.12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947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76.74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2.5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0.66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20.1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1156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0.56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0.46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78.87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1.92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18.43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5.16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1217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0.81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83.69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0.82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13.48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4.35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67</w:t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Cotton stalk crop-residue</w:t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KOH</w:t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Microporous</w:t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0.706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65.56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3.49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[70]</w:t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1787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0.806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20.47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2.88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1706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0.777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66.16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3.47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1853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61.64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30.29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3.74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59.55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3.85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2438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0.727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64.74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31.97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25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3.22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1897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0.744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0.706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65.56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3.37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1.87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26.32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4.88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1787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0.806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0.622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73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2.04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20.47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5.96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1706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0.777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0.598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66.16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1.98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1.33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29.05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5.85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300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1853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0.785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0.646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61.64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2.61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2.74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30.29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5.8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/>
        <w:tc>
          <w:tcPr>
            <w:tcW w:w="1082" w:type="dxa"/>
            <w:cnfStyle w:val="001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2087</w:t>
            </w:r>
          </w:p>
        </w:tc>
        <w:tc>
          <w:tcPr>
            <w:tcW w:w="148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0.872</w:t>
            </w:r>
          </w:p>
        </w:tc>
        <w:tc>
          <w:tcPr>
            <w:tcW w:w="1803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0.768</w:t>
            </w:r>
          </w:p>
        </w:tc>
        <w:tc>
          <w:tcPr>
            <w:tcW w:w="119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59.55</w:t>
            </w:r>
          </w:p>
        </w:tc>
        <w:tc>
          <w:tcPr>
            <w:tcW w:w="1167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1.53</w:t>
            </w:r>
          </w:p>
        </w:tc>
        <w:tc>
          <w:tcPr>
            <w:tcW w:w="1201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2.27</w:t>
            </w:r>
          </w:p>
        </w:tc>
        <w:tc>
          <w:tcPr>
            <w:tcW w:w="1434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34</w:t>
            </w:r>
          </w:p>
        </w:tc>
        <w:tc>
          <w:tcPr>
            <w:tcW w:w="1016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6.23</w:t>
            </w:r>
          </w:p>
        </w:tc>
        <w:tc>
          <w:tcPr>
            <w:tcW w:w="1060" w:type="dxa"/>
            <w:cnfStyle w:val="00000010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  <w:tr>
        <w:trPr>
          <w:trHeight w:val="-9848" w:hRule="atLeast"/>
        </w:trPr>
        <w:tc>
          <w:tcPr>
            <w:tcW w:w="1082" w:type="dxa"/>
            <w:cnfStyle w:val="001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85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99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238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  <w:tc>
          <w:tcPr>
            <w:tcW w:w="1569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2438</w:t>
            </w:r>
          </w:p>
        </w:tc>
        <w:tc>
          <w:tcPr>
            <w:tcW w:w="148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1.212</w:t>
            </w:r>
          </w:p>
        </w:tc>
        <w:tc>
          <w:tcPr>
            <w:tcW w:w="1803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0.727</w:t>
            </w:r>
          </w:p>
        </w:tc>
        <w:tc>
          <w:tcPr>
            <w:tcW w:w="119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64.74</w:t>
            </w:r>
          </w:p>
        </w:tc>
        <w:tc>
          <w:tcPr>
            <w:tcW w:w="1167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2.47</w:t>
            </w:r>
          </w:p>
        </w:tc>
        <w:tc>
          <w:tcPr>
            <w:tcW w:w="1201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0.31</w:t>
            </w:r>
          </w:p>
        </w:tc>
        <w:tc>
          <w:tcPr>
            <w:tcW w:w="1434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31.97</w:t>
            </w:r>
          </w:p>
        </w:tc>
        <w:tc>
          <w:tcPr>
            <w:tcW w:w="1016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0</w:t>
            </w:r>
          </w:p>
        </w:tc>
        <w:tc>
          <w:tcPr>
            <w:tcW w:w="1432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818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  <w:t>5.22</w:t>
            </w:r>
          </w:p>
        </w:tc>
        <w:tc>
          <w:tcPr>
            <w:tcW w:w="1060" w:type="dxa"/>
            <w:cnfStyle w:val="00000001000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lang w:eastAsia="en-IN"/>
              </w:rPr>
            </w:r>
          </w:p>
        </w:tc>
      </w:tr>
    </w:tbl>
    <w:p>
      <w:pPr>
        <w:sectPr>
          <w:footerReference w:type="default" r:id="rId11"/>
          <w:footerReference w:type="first" r:id="rId12"/>
          <w:type w:val="nextPage"/>
          <w:pgSz w:w="28800" w:h="216000"/>
          <w:pgMar w:left="1440" w:right="1440" w:gutter="0" w:header="0" w:top="1440" w:footer="706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left="714"/>
        <w:contextualSpacing/>
        <w:jc w:val="both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</w:rPr>
        <w:t>N.M. Shahani, X. Zheng, X. Guo, X. Wei, Machine learning-based intelligent prediction of elastic modulus of rocks at thar coalfield, Sustainability, 14(6) (2022) 3689.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left="714"/>
        <w:contextualSpacing/>
        <w:jc w:val="both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</w:rPr>
        <w:t>S. Czarnecki, M. Hadzima-Nyarko, A. Chajec, Ł. Sadowski, Design of a machine learning model for the precise manufacturing of green cementitious composites modified with waste granite powder, Sci. Rep., 12(1) (2022) 13242.</w:t>
      </w:r>
    </w:p>
    <w:p>
      <w:pPr>
        <w:pStyle w:val="ListParagraph"/>
        <w:numPr>
          <w:ilvl w:val="0"/>
          <w:numId w:val="1"/>
        </w:numPr>
        <w:spacing w:lineRule="auto" w:line="240"/>
        <w:ind w:hanging="357"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Scikit-learn, Machine Learning in Python, (</w:t>
      </w:r>
      <w:hyperlink r:id="rId13">
        <w:r>
          <w:rPr>
            <w:rStyle w:val="Hyperlink"/>
            <w:rFonts w:cs="Times New Roman" w:ascii="Times New Roman" w:hAnsi="Times New Roman"/>
            <w:color w:val="auto"/>
            <w:sz w:val="24"/>
            <w:szCs w:val="24"/>
          </w:rPr>
          <w:t>https://scikit-learn.org/stable/</w:t>
        </w:r>
      </w:hyperlink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P.D. Dissanayake, S.W. Choi, A.D. Igalavithana, X. Yang, D.C. Tsang, C.H. Wang, H.W. Kua, K.B. Lee, Y.S. Ok, Sustainable gasification biochar as a high efficiency adsorbent for CO</w:t>
      </w:r>
      <w:r>
        <w:rPr>
          <w:rFonts w:cs="Times New Roman" w:ascii="Times New Roman" w:hAnsi="Times New Roman"/>
          <w:sz w:val="24"/>
          <w:szCs w:val="24"/>
          <w:shd w:fill="FFFFFF" w:val="clear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capture: a facile method to designer biochar fabrication,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Renew. Sustain. Energ. Rev.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124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(2020) 109785.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A.D. Igalavithana, S.W. Choi, P.D. Dissanayake, J. Shang, C.H. Wang, X. Yang, S. Kim, D.C. Tsang, K.B. Lee, Y.S. Ok, Gasification biochar from biowaste (food waste and wood waste) for effective CO</w:t>
      </w:r>
      <w:r>
        <w:rPr>
          <w:rFonts w:cs="Times New Roman" w:ascii="Times New Roman" w:hAnsi="Times New Roman"/>
          <w:sz w:val="24"/>
          <w:szCs w:val="24"/>
          <w:shd w:fill="FFFFFF" w:val="clear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adsorption,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J. Hazard. Mater.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391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(2020) 121147.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M.J. Kim, S.W. Choi, H. Kim, S. Mun, K.B. Lee, Simple synthesis of spent coffee ground-based microporous carbons using K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as an activation agent and their application to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Chem. Eng. J., 397 (2020) 125404.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Quan, R. Su, N. Gao, Preparation of activated biomass carbon from pine sawdust for supercapacitor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Int. J. Energ. Res., 44(6) (2020) 4335-4351.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 Li, B. Michalkiewicz, J. Min, C. Ma, X. Chen, J. Gong, E. Mijowska, T. Tang, Selective preparation of biomass-derived porous carbon with controllable pore sizes toward highly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Chem. Eng. J., 360 (2019) 250-259.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S.W. Choi, J. Tang, V.G. Pol, K.B. Lee, Pollen-derived porous carbon by KOH activation: Effect of physicochemical structure on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adsorption, J.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Util., 29 (2019) 146-155.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H. Yuan, J. Chen, D. Li, H. Chen, Y. Chen, 5 Ultramicropore-rich renewable porous carbon from biomass tar with excellent adsorption capacity and selectivity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Chem. Eng. J., 373 (2019) 171-178.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H. Sun, B. Yang, A. Li, Biomass derived porous carbon for efficient capture of carbon dioxide, organic contaminants and volatile iodine with exceptionally high uptake, Chem. Eng. J., 372 (2019) 65-73.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Li, J. Chen, Y. Fan, L. Deng, R. Shan, H. Chen, H. Yuan, Y. Chen, Biomass-tar-Enabled nitrogen-doped highly ultramicroporous carbon as an efficient absorbent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Energ. Fuel., 33(9) (2019) 8927-8936.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D.L. Sivadas, A. Damodaran, R. Raghavan, Microporous carbon monolith and fiber from freeze-dried banana stems for high efficiency carbon dioxide adsorption, ACS Sustain. Chem. Eng., 7(15) (2019) 12807-12816.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V. Gargiulo, A. Gomis-Berenguer, P. Giudicianni, C.O. Ania, R. Ragucci, M. Alfè, Assessing the potential of biochars prepared by steam-assisted slow pyrolysis for CO</w:t>
      </w:r>
      <w:r>
        <w:rPr>
          <w:rFonts w:cs="Times New Roman" w:ascii="Times New Roman" w:hAnsi="Times New Roman"/>
          <w:sz w:val="24"/>
          <w:szCs w:val="24"/>
          <w:shd w:fill="FFFFFF" w:val="clear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adsorption and separation, </w:t>
      </w:r>
      <w:r>
        <w:rPr>
          <w:rFonts w:cs="Times New Roman" w:ascii="Times New Roman" w:hAnsi="Times New Roman"/>
          <w:sz w:val="24"/>
          <w:szCs w:val="24"/>
        </w:rPr>
        <w:t>Energ. Fuel.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32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(10) (2018) 10218-10227.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F. Shen, Y. Wang, L. Li, K. Zhang, R.L. Smith, X. Qi, Porous carbonaceous materials from hydrothermal carbonization and KOH activation of corn stover for highly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Chem. Eng. Commun., 205(4) (2018) 423-431.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X.X. Wu, C.Y. Zhang, Z.W. Tian, J.J. Cai, Large-surface-area carbons derived from lotus stem waste for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New Carbon Mater., 33(3) (2018) 252-261.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E.A. Hirst, A. Taylor, R. Mokaya, A simple flash carbonization route for conversion of biomass to porous carbons with high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storage capacity, J. Mater. Chem. A, 6 (26) (2018) 12393-12403.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J.J. Manyà, B. González, M. Azuara, G. Arner, Ultra-microporous adsorbents prepared from vine shoots-derived biochar with high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uptake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/N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selectivity, Chem. Eng. J., 345 (2018) 631-639.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G. Singh, I.Y. Kim, K.S. Lakhi, P. Srivastava, R. Naidu, A. Vinu, Single step synthesis of activated bio-carbons with a high surface area and their excellent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capacity, Carbon, 116 (2017) 448-455.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Zhang, W. Song, Q. Ma, L. Xie, X. Zhang, H. Guo, Enhancement of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on biomass-based carbon from black locust by KOH activation and ammonia modification, Energ. Fuel., 30(5) (2016) 4181-4190.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G.K. Parshetti, S. Chowdhury, R. Balasubramanian, Biomass derived low-cost microporous adsorbents for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Fuel, 148 (2015) 246-254.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Alabadi, S. Razzaque, Y. Yang, S. Chen, B. Tan, Highly porous activated carbon materials from carbonized biomass with high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capturing capacity, Chem. Eng. J., 281 (2015) 606-612.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D. Li, T. Ma, R. Zhang, Y. Tian, Y. Qiao, Preparation of porous carbons with high low-pressure CO</w:t>
      </w:r>
      <w:r>
        <w:rPr>
          <w:rFonts w:cs="Times New Roman" w:ascii="Times New Roman" w:hAnsi="Times New Roman"/>
          <w:sz w:val="24"/>
          <w:szCs w:val="24"/>
          <w:shd w:fill="FFFFFF" w:val="clear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uptake by KOH activation of rice husk char,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Fuel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139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(2015) 68-70.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Li, Y. Tian, L. Li, J. Li, H. Zhang, Production of highly microporous carbons with large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uptakes at atmospheric pressure by KOH activation of peanut shell char, J. Porous Mat., 22(6) (2015) 1581-1588.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 Deng, H. Wei, T. Chen, B. Wang, J. Huang, G. Yu, Superior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on pine nut shell-derived activated carbons and the effective micropores at different temperatures, Chem. Eng. J., 253 (2014) 46-54.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J.S. Bae, S. Su, Macadamia nut shell-derived carbon composites for post combustion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Int. J. Greenh. Gas Con., 19 (2013) 174-182.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H. Cui, J. Xu, J. Shi, N. Yan, Y. Liu, S. Zhang, Zinc nitrate as an activation agent for the synthesis of nitrogen-doped porous carbon and its application in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adsorption, Energ. Fuel., 34(5) (2020) 6069-6076.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 Liu, R. Ma, X. Hu, L. Wang, X. Wang, M. Radosz, M. Fan,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on hazelnut-shell-derived nitrogen-doped porous carbons synthesized by single-step sodium amide activation, Ind. Eng. Chem. Res., 59(15) (2019) 7046-7053.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Z. Yang, G. Zhang, X. Guo, Y. Xu, Designing a novel N-doped adsorbent with ultrahigh selectivity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: waste biomass pyrolysis and two-step activation, Biomass Convers. Biorefinery, 11(6) (2021) 2843-2854.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Y. Xu, Z. Yang, G. Zhang, and P. Zhao, Excellent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performance of nitrogen-doped waste biocarbon prepared with different activators, J. Clean Prod., 264 (2020) 121645.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Z. Yang, X. Guo, G. Zhang, Y. Xu, One‐pot synthesis of high N‐doped porous carbons derived from a N‐rich oil palm biomass residue in low temperature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Int. J. Energ. Res., 44(6) (2020) 4875-4887.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Y. Li, S. Wang, B. Wang, Y. Wang, J. Wei, Sustainable biomass glucose-derived porous carbon spheres with high nitrogen doping: as a promising adsorbent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/CH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/N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adsorptive separation, Nanomaterials, 10(1) (2020) 174.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Quan, X. Jia, N. Gao, Nitrogen‐doping activated biomass carbon from tea seed shell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and supercapacitor, Int. J. Energ. Res., 44(2) (2020) 1218-1232.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Rao, S. Liu, L. Wang, C. Ma, J. Wu, L. An, X. Hu, N-doped porous carbons from low-temperature and single-step sodium amide activation of carbonized water chestnut shell with excellent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performance, Chem. Eng. J., 359 (2019) 428-435.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Chang, W. Shi, H. Yin, S. Zhang, B. Yang, Poplar catkin-derived self-templated synthesis of N-doped hierarchical porous carbon microtubes for effective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Chem. Eng. J., 358 (2019) 1507-1518.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Z. Yang, G. Zhang, Y. Xu, P. Zhao, One step N-doping and activation of biomass carbon at low temperature through NaNH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: An effective approach to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adsorbents, J.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Util., 33 (2019) 320-329.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Rao, R. Ma, S. Liu, L. Wang, Z. Wu, J. Yang, X. Hu, Nitrogen enriched porous carbons from d-glucose with excellent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performance, Chem. Eng. J., 362 (2019) 794-801.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R. Ma, J. Hao, G. Chang, Y. Wang, Q. Guo, Nitrogen‐doping microporous adsorbents prepared from palm kernel with excellent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property, The Can. J. Chem. Eng., 98(2) (2020) 503-512.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 Park, M.S. Choi, H.S. Park, Nitrogen-doped nanoporous carbons derived from lignin for high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capacity, Carbon Lett., 29(3) (2019) 289-296.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 Zhu, W. Cai, F. Verpoort, J. Zhou, Preparation of pineapple waste-derived porous carbons with enhanced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performance by hydrothermal carbonation-alkali metal oxalates assisted thermal activation process, Chem. Eng. Res. Des., 146 (2019) 130-140.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X. Ma, L. Li, Z. Zeng, R. Chen, C. Wang, K. Zhou, H. Li, Experimental and theoretical demonstration of the relative effects of O-doping and N-doping in porous carbons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Appl. Surf. Sci., 481 (2019) 1139-1147.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Rehman, S.J. Park, Tunable nitrogen-doped microporous carbons: Delineating the role of optimum pore size for enhanced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adsorption, Chem. Eng. J., 362 (2019) 731-742.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 Han, L. Zhang, B. Zhao, L. Qin, Y. Wang, F. Xing, The N-doped activated carbon derived from sugarcane bagasse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adsorption, Ind. Crop. Prod., 128 (2019) 290-297.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Rao, L. Yue, L. Wang, Z. Wu, C. Ma, L. An, X. Hu, Low-temperature and single-step synthesis of N-doped porous carbons with a high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performance by sodium amide activation, Energ. Fuel., 32(10) (2018) 10830-10837.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Wang, L. Rao, B. Xia, L. Wang, L. Yue, Y. Liang, H. DaCosta, X. Hu, Highly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by nitrogen-doped porous carbons synthesized with low-temperature sodium amide activation, Carbon, 130 (2018) 31-40.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Yue, Q. Xia, L. Wang, L. Wang, H. DaCosta, J. Yang, and X. Hu,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at nitrogen-doped carbons prepared by K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activation of urea-modified coconut shell, J. Colloid Interf. Sci., 511 (2018) 259-267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O. Boujibar, A. Souikny, F. Ghamouss, O. Achak, M. Dahbi, T. Chafik,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using N-containing nanoporous activated carbon obtained from argan fruit shells, J. Environ. Chem. Eng., 6(2) (2018) 1995-2002.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N. Querejeta, M.V. Gil, C. Pevida, T.A. Centeno, Standing out the key role of ultramicroporosity to tailor biomass-derived carbons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J.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Util., 26 (2018) 1-7.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Chithra, P. Wilson, R. Rajeev, K. Prabhakaran, Nitrogen-doped microporous carbon with high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sorption by KOH activation of black gram, Mater. Res. Express, 5(11) (2018) 115606.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Yue, L. Rao, L. Wang, L. An, C. Hou, C. Ma, H. DaCosta, X. Hu,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on nitrogen-doped porous carbons derived from d-glucose, Energ. Fuel., 32(6) (2018) 6955-6963.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 Demir, T.D. Tessema, A.A. Farghaly, E. Nyankson, S.K. Saraswat, B. Aksoy, T. Islamoglu, M.M. Collinson, H.M. El‐Kaderi, and R.B. Gupta, Lignin‐derived heteroatom‐doped porous carbons for supercapacitor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applications, Int. J. Energ. Res., 42(8) (2018) 2686-2700.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M.G. Singh, K.S. Lakhi, D.H. Park, P. Srivastava, R. Naidu, A. Vinu, Facile One‐Pot Synthesis of Activated Porous Biocarbons with a High Nitrogen Content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ChemNanoMat, 4(3) (2018) 281-290.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Gao, N. Guo, M. Yan, M. Li, F. Wang, R. Yang, Hierarchical porous carbon activated by CaCO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from pigskin collagen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and H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adsorption, Micropor. Mesopor. Mat., 260 (2018) 172-179.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Li, J. Zhou, Z. Zhang, L. Li, Y. Tian, Y. Lu, Y. Qiao, J. Li, L. Wen, Improving low-pressure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performance of N-doped active carbons by adjusting flow rate of protective gas during alkali activation, Carbon, 114 (2017) 496-503.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L. Yue, L. Rao, L. Wang, L. Wang, J. Wu, X. Hu, H. DaCosta, J. Yang, M. Fan,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by nitrogen-doped biocarbons derived from rotten strawberries, Ind. Eng. Chem. Res., 56(47) (2017) 14115-14122.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Saha, S.E. Van Bramer, G. Orkoulas, H.C. Ho, J. Chen, D.K. Henley,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in lignin-derived and nitrogen-doped hierarchical porous carbons, Carbon, 121 (2017) 257-266.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 Rana, K. Subramani, M. Sathish, U.K. Gautam, Soya derived heteroatom doped carbon as a promising platform for oxygen reduction, supercapacitor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Carbon, 114 (2017) 679-689.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G. Singh, I.Y. Kim, K.S. Lakhi, S. Joseph, P. Srivastava, R. Naidu, A. Vinu, Heteroatom functionalized activated porous biocarbons and their excellent performance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at high pressure, J. Mater. Chem. A, 5(40) (2017) 21196-21204.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Y. Boyjoo, Y. Cheng, H. Zhong, H. Tian, J. Pan, V.K. Pareek, J.F. Lamonier, M. Jaroniec, J. Liu, From waste Coca Cola® to activated carbons with impressive capabilities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and supercapacitors, Carbon, 116 (2017) 490-499.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Y. Li, R. Xu, X. Wang, B. Wang, J. Cao, J. Yang, J. Wei, Waste wool derived nitrogen-doped hierarchical porous carbon for selective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capture, RSC Adv., 8(35) (2018) 19818-19826.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J. Chen, J. Yang, G. Hu, X. Hu, Z. Li, S. Shen, M. Radosz, M. Fan, Enhanced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capacity of nitrogen-doped biomass-derived porous carbons, ACS Sustain. Chem. Eng., 4(3) (2016) 1439-1445.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Arami-Niya, T.E. Rufford, Z. Zhu, Nitrogen-doped carbon foams synthesized from banana peel and zinc complex template for adsorption of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CH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, and N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, Energ. Fuel., 30(9) (2016) 7298-7309.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Zhang, W. Song, Q. Ma, L. Xie, X. Zhang, and H. Guo, Enhancement of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on biomass-based carbon from black locust by KOH activation and ammonia modification, Energ. Fuel., 30(5) (2016) 4181-4190.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T. Wei, Q. Zhang, X. Wei, Y. Gao, H. Li, A facile and low-cost route to heteroatom doped porous carbon derived from broussonetia papyrifera bark with excellent supercapacitance and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performance, Sci. Rep., 6(1) (2016) 1-9.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 Yang, L. Guo, G. Hu, X. Hu, L. Xu, J. Chen, W. Dai, and M. Fan, Highly cost-effective nitrogen-doped porous coconut shell-based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sorbent synthesized by combining ammoxidation with KOH activation, Environ. Sci. Technol., 49(11) (2015) 7063-7070.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Zhu, K. Qiu, C. Shang, Z. Guo, Naturally derived porous carbon with selective metal-and/or nitrogen-doping for efficient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capture and oxygen reduction, J. Mater. Chem. A, 3(9) (2015) 5212-5222.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Z.Q. Zhao, P.W. Xiao, L. Zhao, Y. Liu, B.H. Han, Human hair-derived nitrogen and sulfur co-doped porous carbon materials for gas adsorption, RSC Adv., 5(90) (2015) 73980-73988.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Ma, J. Bai, X. Hu, Z. Jiang, L. Wang, Nitrogen-doped porous carbons from polyacrylonitrile fiber as effective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adsorbents, J. Environ. Sci., 125 (2023) 533-543.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T. Lu, J. Bai, M. Demir, X. Hu, J. Huang, L. Wang, Synthesis of Potassium Bitartrate-derived porous carbon via a Facile and Self-Activating Strategy for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Adsorption Application, Sep. Purif. Technol., (2022) 121368.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 Singh, N. Borkhatariya, P. Pramanik, S. Dutta, S.K. Ghosh, P. Maiti, S. Neogi, S. Maiti, Microporous carbon derived from cotton stalk crop-residue across diverse geographical locations as efficient and regenerable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adsorbent with selectivity, J. CO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Util., 60 (2022) 101975.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S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S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S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  <w:docVars>
    <w:docVar w:name="__Grammarly_42____i" w:val="H4sIAAAAAAAEAKtWckksSQxILCpxzi/NK1GyMqwFAAEhoTITAAAA"/>
    <w:docVar w:name="__Grammarly_42___1" w:val="H4sIAAAAAAAEAKtWcslP9kxRslIyNDY2MLU0MjU3MzQwsTQ2NjFU0lEKTi0uzszPAykwNKsFAM5qhqot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39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395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color w:themeColor="text2" w:themeShade="bf" w:val="333F4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7f"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themeColor="accent1" w:val="4472C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accent2" w:val="ED7D3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2"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reference1">
    <w:name w:val="Footnote reference1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reference1">
    <w:name w:val="Endnote reference1"/>
    <w:basedOn w:val="DefaultParagraphFont"/>
    <w:uiPriority w:val="99"/>
    <w:semiHidden/>
    <w:unhideWhenUsed/>
    <w:qFormat/>
    <w:rPr>
      <w:vertAlign w:val="superscript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Object-hover" w:customStyle="1">
    <w:name w:val="Object-hover"/>
    <w:basedOn w:val="DefaultParagraphFont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themeColor="accent1" w:val="4472C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image" Target="media/image4.tif"/><Relationship Id="rId6" Type="http://schemas.openxmlformats.org/officeDocument/2006/relationships/image" Target="media/image5.tif"/><Relationship Id="rId7" Type="http://schemas.openxmlformats.org/officeDocument/2006/relationships/image" Target="media/image6.tif"/><Relationship Id="rId8" Type="http://schemas.openxmlformats.org/officeDocument/2006/relationships/image" Target="media/image7.tif"/><Relationship Id="rId9" Type="http://schemas.openxmlformats.org/officeDocument/2006/relationships/image" Target="media/image8.tif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s://scikit-learn.org/stable/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BE12-ECD4-475F-8810-EC46E41B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Application>LibreOffice/7.6.7.2$Linux_X86_64 LibreOffice_project/60$Build-2</Application>
  <AppVersion>15.0000</AppVersion>
  <Pages>15</Pages>
  <Words>9092</Words>
  <Characters>39001</Characters>
  <CharactersWithSpaces>41804</CharactersWithSpaces>
  <Paragraphs>6227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Namdeo</dc:creator>
  <dc:description/>
  <dc:language>en-US</dc:language>
  <cp:lastModifiedBy/>
  <dcterms:modified xsi:type="dcterms:W3CDTF">2024-07-15T14:19:44Z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