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应用开发入门（典例版）</w:t>
      </w:r>
    </w:p>
    <w:p>
      <w:r>
        <w:t>—— Word 格式典例：正式文档排版，用于 anydoc 转换对比。</w:t>
      </w:r>
    </w:p>
    <w:p>
      <w:pPr>
        <w:pStyle w:val="Heading1"/>
      </w:pPr>
      <w:r>
        <w:t>RAG 是什么</w:t>
      </w:r>
    </w:p>
    <w:p>
      <w:r>
        <w:t>检索增强生成（Retrieval-Augmented Generation）：回答前先从你的私有资料里查资料，把查到的原文塞进提问，再让模型基于资料回答。类比：开卷考试——裸问答是闭卷，模型只会背书上的还可能记错；RAG 是开卷，带着笔记进场翻到相关段落再答题。</w:t>
      </w:r>
    </w:p>
    <w:p>
      <w:pPr>
        <w:pStyle w:val="Heading1"/>
      </w:pPr>
      <w:r>
        <w:t>为什么要先查资料</w:t>
      </w:r>
    </w:p>
    <w:p>
      <w:r>
        <w:t>模型的记忆是训练时写死的，有两个硬伤：不知道你的事（你的笔记、公司文档模型从没见过）；会一本正经地胡说（记忆模糊时倾向编一个听起来合理的答案，这就是幻觉）。RAG 的思路是不改造模型，而是在提问时喂它需要的那几页资料——模型不擅长记忆，但擅长照着资料说话。</w:t>
      </w:r>
    </w:p>
    <w:p>
      <w:pPr>
        <w:pStyle w:val="Heading1"/>
      </w:pPr>
      <w:r>
        <w:t>切块：两种切法</w:t>
      </w:r>
    </w:p>
    <w:p>
      <w:r>
        <w:t>模型每次能看的文字有限，先把文档切成小块，提问时只挑相关的几块。窗口切：固定 500 字一块、步长 450，重叠 50 字防止一句话被从中间切断。标题结构切：按文档标题分节，一个标题一块，标题是天然的语义边界。项目用两级策略：标题分节为主，某节超过 500 字在节内再窗口切；无标题文档退化为纯窗口切。</w:t>
      </w:r>
    </w:p>
    <w:p>
      <w:pPr>
        <w:pStyle w:val="Heading1"/>
      </w:pPr>
      <w:r>
        <w:t>向量化：文字变数字</w:t>
      </w:r>
    </w:p>
    <w:p>
      <w:r>
        <w:t>电脑不懂意思但懂数字。嵌入模型把一段文字映射成一串数字（向量），规则是意思相近的文字向量方向也相近：猫和猫咪的向量挨得很近，猫和汽车的向量离得很远。向量是一串数字，数字本身没意义，方向才表达语义。</w:t>
      </w:r>
    </w:p>
    <w:p>
      <w:pPr>
        <w:pStyle w:val="Heading1"/>
      </w:pPr>
      <w:r>
        <w:t>检索：余弦相似度</w:t>
      </w:r>
    </w:p>
    <w:p>
      <w:r>
        <w:t>提问来了：先把问题也变成向量，然后和库里每一块的向量比方向像不像，取最像的 top-k 块。数学上就是余弦相似度：点积衡量方向一致性，除以模长抵消长度影响，范围负一到一，越大越像。为什么用余弦不用距离？向量长度受文本长度影响，余弦只看方向更公平。</w:t>
      </w:r>
    </w:p>
    <w:p>
      <w:pPr>
        <w:pStyle w:val="Heading1"/>
      </w:pPr>
      <w:r>
        <w:t>最佳输入格式</w:t>
      </w:r>
    </w:p>
    <w:p>
      <w:r>
        <w:t>向量化用什么格式输入最佳？Markdown。理由：结构完整，标题、表格、代码块都是切块与检索的强信号；纯文本会把这些结构抹平，PDF 表格转纯文本后语义粘连。让资料保持 Markdown 进管道，检索命中率和答案可追溯性都更好。</w:t>
      </w:r>
    </w:p>
    <w:p>
      <w:pPr>
        <w:pStyle w:val="Heading1"/>
      </w:pPr>
      <w:r>
        <w:t>路线对比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路线</w:t>
            </w:r>
          </w:p>
        </w:tc>
        <w:tc>
          <w:tcPr>
            <w:tcW w:type="dxa" w:w="2880"/>
          </w:tcPr>
          <w:p>
            <w:r>
              <w:t>成本</w:t>
            </w:r>
          </w:p>
        </w:tc>
        <w:tc>
          <w:tcPr>
            <w:tcW w:type="dxa" w:w="2880"/>
          </w:tcPr>
          <w:p>
            <w:r>
              <w:t>见效</w:t>
            </w:r>
          </w:p>
        </w:tc>
      </w:tr>
      <w:tr>
        <w:tc>
          <w:tcPr>
            <w:tcW w:type="dxa" w:w="2880"/>
          </w:tcPr>
          <w:p>
            <w:r>
              <w:t>微调</w:t>
            </w:r>
          </w:p>
        </w:tc>
        <w:tc>
          <w:tcPr>
            <w:tcW w:type="dxa" w:w="2880"/>
          </w:tcPr>
          <w:p>
            <w:r>
              <w:t>高：要数据、要算力、要调参</w:t>
            </w:r>
          </w:p>
        </w:tc>
        <w:tc>
          <w:tcPr>
            <w:tcW w:type="dxa" w:w="2880"/>
          </w:tcPr>
          <w:p>
            <w:r>
              <w:t>慢，像重新训练一次</w:t>
            </w:r>
          </w:p>
        </w:tc>
      </w:tr>
      <w:tr>
        <w:tc>
          <w:tcPr>
            <w:tcW w:type="dxa" w:w="2880"/>
          </w:tcPr>
          <w:p>
            <w:r>
              <w:t>蒸馏</w:t>
            </w:r>
          </w:p>
        </w:tc>
        <w:tc>
          <w:tcPr>
            <w:tcW w:type="dxa" w:w="2880"/>
          </w:tcPr>
          <w:p>
            <w:r>
              <w:t>高：需要大模型老师 + 大量标注</w:t>
            </w:r>
          </w:p>
        </w:tc>
        <w:tc>
          <w:tcPr>
            <w:tcW w:type="dxa" w:w="2880"/>
          </w:tcPr>
          <w:p>
            <w:r>
              <w:t>慢，接近研发投入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低：代码 + 本地模型即可</w:t>
            </w:r>
          </w:p>
        </w:tc>
        <w:tc>
          <w:tcPr>
            <w:tcW w:type="dxa" w:w="2880"/>
          </w:tcPr>
          <w:p>
            <w:r>
              <w:t>快：上传文档就能用，效果立竿见影</w:t>
            </w:r>
          </w:p>
        </w:tc>
      </w:tr>
    </w:tbl>
    <w:p>
      <w:pPr>
        <w:pStyle w:val="Heading1"/>
      </w:pPr>
      <w:r>
        <w:t>Prompt 模板</w:t>
      </w:r>
    </w:p>
    <w:p>
      <w:pPr>
        <w:ind w:left="200"/>
      </w:pPr>
      <w:r>
        <w:t>资料1：...</w:t>
      </w:r>
    </w:p>
    <w:p>
      <w:pPr>
        <w:ind w:left="200"/>
      </w:pPr>
      <w:r>
        <w:t>资料2：...</w:t>
      </w:r>
    </w:p>
    <w:p>
      <w:pPr>
        <w:ind w:left="200"/>
      </w:pPr>
      <w:r>
        <w:t>问题：...</w:t>
      </w:r>
    </w:p>
    <w:p>
      <w:pPr>
        <w:ind w:left="200"/>
      </w:pPr>
      <w:r>
        <w:t>请仅依据以上资料回答，不要编造资料外的内容。</w:t>
      </w:r>
    </w:p>
    <w:p>
      <w:pPr>
        <w:pStyle w:val="Heading1"/>
      </w:pPr>
    </w:p>
    <w:p>
      <w:r>
        <w:t>（本段为补充段落：RAG 全链路源码位于 rag 包，演示页可点开参考源核对答案依据。）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