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40" w:before="0"/>
        <w:jc w:val="center"/>
      </w:pPr>
      <w:r>
        <w:rPr>
          <w:rFonts w:ascii="Arial" w:cs="Arial" w:eastAsia="Arial" w:hAnsi="Arial"/>
          <w:b/>
          <w:bCs/>
          <w:color w:val="2E6DA4"/>
          <w:sz w:val="24"/>
          <w:szCs w:val="24"/>
        </w:rPr>
        <w:t xml:space="preserve">REPUBLIC OF UGANDA</w:t>
      </w:r>
    </w:p>
    <w:p>
      <w:pPr>
        <w:spacing w:after="240" w:before="0"/>
        <w:jc w:val="center"/>
      </w:pPr>
      <w:r>
        <w:rPr>
          <w:rFonts w:ascii="Arial" w:cs="Arial" w:eastAsia="Arial" w:hAnsi="Arial"/>
          <w:color w:val="666666"/>
          <w:sz w:val="20"/>
          <w:szCs w:val="20"/>
        </w:rPr>
        <w:t xml:space="preserve">Ministry of Finance, Planning and Economic Development</w:t>
      </w:r>
    </w:p>
    <w:p>
      <w:pPr>
        <w:pBdr>
          <w:top w:val="single" w:color="C8960C" w:sz="12"/>
        </w:pBdr>
        <w:spacing w:after="80" w:before="0"/>
        <w:jc w:val="center"/>
      </w:pPr>
      <w:r>
        <w:t xml:space="preserve"/>
      </w:r>
    </w:p>
    <w:p>
      <w:pPr>
        <w:spacing w:after="0" w:before="120"/>
      </w:pPr>
      <w:r>
        <w:t xml:space="preserve"/>
      </w:r>
    </w:p>
    <w:p>
      <w:pPr>
        <w:spacing w:after="80" w:before="0"/>
        <w:jc w:val="center"/>
      </w:pPr>
      <w:r>
        <w:rPr>
          <w:rFonts w:ascii="Arial" w:cs="Arial" w:eastAsia="Arial" w:hAnsi="Arial"/>
          <w:b/>
          <w:bCs/>
          <w:color w:val="1A3557"/>
          <w:sz w:val="72"/>
          <w:szCs w:val="72"/>
        </w:rPr>
        <w:t xml:space="preserve">USE INSIGHT</w:t>
      </w:r>
    </w:p>
    <w:p>
      <w:pPr>
        <w:spacing w:after="200" w:before="0"/>
        <w:jc w:val="center"/>
      </w:pPr>
      <w:r>
        <w:rPr>
          <w:rFonts w:ascii="Arial" w:cs="Arial" w:eastAsia="Arial" w:hAnsi="Arial"/>
          <w:b/>
          <w:bCs/>
          <w:color w:val="2E6DA4"/>
          <w:sz w:val="36"/>
          <w:szCs w:val="36"/>
        </w:rPr>
        <w:t xml:space="preserve">Intelligent Retail Investor &amp; Market Access Platform</w:t>
      </w:r>
    </w:p>
    <w:p>
      <w:pPr>
        <w:pBdr>
          <w:bottom w:val="single" w:color="C8960C" w:sz="12"/>
        </w:pBdr>
        <w:spacing w:after="80" w:before="0"/>
        <w:jc w:val="center"/>
      </w:pPr>
      <w:r>
        <w:t xml:space="preserve"/>
      </w:r>
    </w:p>
    <w:p>
      <w:pPr>
        <w:spacing w:after="0" w:before="240"/>
      </w:pPr>
      <w:r>
        <w:t xml:space="preserve"/>
      </w:r>
    </w:p>
    <w:p>
      <w:pPr>
        <w:spacing w:after="80" w:before="0"/>
        <w:jc w:val="center"/>
      </w:pPr>
      <w:r>
        <w:rPr>
          <w:rFonts w:ascii="Arial" w:cs="Arial" w:eastAsia="Arial" w:hAnsi="Arial"/>
          <w:i/>
          <w:iCs/>
          <w:color w:val="1A3557"/>
          <w:sz w:val="26"/>
          <w:szCs w:val="26"/>
        </w:rPr>
        <w:t xml:space="preserve">"Democratizing Access to Uganda's Capital Markets</w:t>
      </w:r>
    </w:p>
    <w:p>
      <w:pPr>
        <w:spacing w:after="300" w:before="0"/>
        <w:jc w:val="center"/>
      </w:pPr>
      <w:r>
        <w:rPr>
          <w:rFonts w:ascii="Arial" w:cs="Arial" w:eastAsia="Arial" w:hAnsi="Arial"/>
          <w:i/>
          <w:iCs/>
          <w:color w:val="1A3557"/>
          <w:sz w:val="26"/>
          <w:szCs w:val="26"/>
        </w:rPr>
        <w:t xml:space="preserve">Through Intelligent Financial Technology"</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A3557"/>
                <w:sz w:val="20"/>
                <w:szCs w:val="20"/>
              </w:rPr>
              <w:t xml:space="preserve">Submitted To</w:t>
            </w:r>
          </w:p>
          <w:p>
            <w:pPr>
              <w:jc w:val="center"/>
            </w:pPr>
            <w:r>
              <w:rPr>
                <w:rFonts w:ascii="Arial" w:cs="Arial" w:eastAsia="Arial" w:hAnsi="Arial"/>
                <w:color w:val="1A1A1A"/>
                <w:sz w:val="20"/>
                <w:szCs w:val="20"/>
              </w:rPr>
              <w:t xml:space="preserve">Uganda Securities Exchange</w:t>
            </w:r>
          </w:p>
          <w:p>
            <w:pPr>
              <w:jc w:val="center"/>
            </w:pPr>
            <w:r>
              <w:rPr>
                <w:rFonts w:ascii="Arial" w:cs="Arial" w:eastAsia="Arial" w:hAnsi="Arial"/>
                <w:color w:val="1A1A1A"/>
                <w:sz w:val="20"/>
                <w:szCs w:val="20"/>
              </w:rPr>
              <w:t xml:space="preserve">&amp; Ministry of Finance</w:t>
            </w:r>
          </w:p>
        </w:tc>
        <w:tc>
          <w:tcPr>
            <w:tcW w:type="dxa" w:w="468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jc w:val="center"/>
            </w:pPr>
            <w:r>
              <w:rPr>
                <w:rFonts w:ascii="Arial" w:cs="Arial" w:eastAsia="Arial" w:hAnsi="Arial"/>
                <w:b/>
                <w:bCs/>
                <w:color w:val="1A3557"/>
                <w:sz w:val="20"/>
                <w:szCs w:val="20"/>
              </w:rPr>
              <w:t xml:space="preserve">Date</w:t>
            </w:r>
          </w:p>
          <w:p>
            <w:pPr>
              <w:jc w:val="center"/>
            </w:pPr>
            <w:r>
              <w:rPr>
                <w:rFonts w:ascii="Arial" w:cs="Arial" w:eastAsia="Arial" w:hAnsi="Arial"/>
                <w:color w:val="1A1A1A"/>
                <w:sz w:val="20"/>
                <w:szCs w:val="20"/>
              </w:rPr>
              <w:t xml:space="preserve">May 2026</w:t>
            </w:r>
          </w:p>
          <w:p>
            <w:pPr>
              <w:jc w:val="center"/>
            </w:pPr>
            <w:r>
              <w:rPr>
                <w:rFonts w:ascii="Arial" w:cs="Arial" w:eastAsia="Arial" w:hAnsi="Arial"/>
                <w:color w:val="1A1A1A"/>
                <w:sz w:val="20"/>
                <w:szCs w:val="20"/>
              </w:rPr>
              <w:t xml:space="preserve">Kampala, Uganda</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EXECUTIVE SUMMARY</w:t>
      </w:r>
    </w:p>
    <w:p>
      <w:pPr>
        <w:spacing w:after="120" w:before="80"/>
        <w:jc w:val="left"/>
      </w:pPr>
      <w:r>
        <w:rPr>
          <w:rFonts w:ascii="Arial" w:cs="Arial" w:eastAsia="Arial" w:hAnsi="Arial"/>
          <w:color w:val="1A1A1A"/>
          <w:sz w:val="22"/>
          <w:szCs w:val="22"/>
        </w:rPr>
        <w:t xml:space="preserve">Uganda's capital markets represent a significant and underutilised engine for national economic growth. Despite the Uganda Securities Exchange (USE) recording progressive milestones in digitising securities trading infrastructure, retail investor participation remains critically low — a problem rooted not in the absence of platforms, but in the absence of the right kind of platform.</w:t>
      </w:r>
    </w:p>
    <w:p>
      <w:pPr>
        <w:spacing w:after="0" w:before="120"/>
      </w:pPr>
      <w:r>
        <w:t xml:space="preserve"/>
      </w:r>
    </w:p>
    <w:p>
      <w:pPr>
        <w:spacing w:after="120" w:before="80"/>
        <w:jc w:val="left"/>
      </w:pPr>
      <w:r>
        <w:rPr>
          <w:rFonts w:ascii="Arial" w:cs="Arial" w:eastAsia="Arial" w:hAnsi="Arial"/>
          <w:color w:val="1A1A1A"/>
          <w:sz w:val="22"/>
          <w:szCs w:val="22"/>
        </w:rPr>
        <w:t xml:space="preserve">USE Insight is proposed as a transformative, AI-powered financial technology platform specifically designed to bridge the gap between Uganda's capital market infrastructure and the ordinary citizen. It is a mobile-first, data-intelligent, and education-centered digital platform that reimagines how Ugandans discover, understand, and participate in investment opportunities.</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USE Insight is not a trading platform. It is an investor intelligence ecosystem — built to inform, educate, alert, and empower a new generation of Ugandan retail investors.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6DA4" w:sz="1"/>
              <w:left w:val="single" w:color="2E6DA4" w:sz="1"/>
              <w:bottom w:val="single" w:color="2E6DA4" w:sz="1"/>
              <w:right w:val="single" w:color="2E6DA4" w:sz="1"/>
            </w:tcBorders>
            <w:shd w:fill="1A3557"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Challenge</w:t>
            </w:r>
          </w:p>
        </w:tc>
        <w:tc>
          <w:tcPr>
            <w:tcW w:type="dxa" w:w="3120"/>
            <w:tcBorders>
              <w:top w:val="single" w:color="2E6DA4" w:sz="1"/>
              <w:left w:val="single" w:color="2E6DA4" w:sz="1"/>
              <w:bottom w:val="single" w:color="2E6DA4" w:sz="1"/>
              <w:right w:val="single" w:color="2E6DA4" w:sz="1"/>
            </w:tcBorders>
            <w:shd w:fill="1A3557"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Solution</w:t>
            </w:r>
          </w:p>
        </w:tc>
        <w:tc>
          <w:tcPr>
            <w:tcW w:type="dxa" w:w="3120"/>
            <w:tcBorders>
              <w:top w:val="single" w:color="2E6DA4" w:sz="1"/>
              <w:left w:val="single" w:color="2E6DA4" w:sz="1"/>
              <w:bottom w:val="single" w:color="2E6DA4" w:sz="1"/>
              <w:right w:val="single" w:color="2E6DA4" w:sz="1"/>
            </w:tcBorders>
            <w:shd w:fill="1A3557"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The Outcome</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60"/>
            </w:pPr>
            <w:r>
              <w:rPr>
                <w:rFonts w:ascii="Arial" w:cs="Arial" w:eastAsia="Arial" w:hAnsi="Arial"/>
                <w:color w:val="1A1A1A"/>
                <w:sz w:val="20"/>
                <w:szCs w:val="20"/>
              </w:rPr>
              <w:t xml:space="preserve">Low retail investor participation</w:t>
            </w:r>
          </w:p>
          <w:p>
            <w:pPr>
              <w:spacing w:after="60" w:before="60"/>
            </w:pPr>
            <w:r>
              <w:rPr>
                <w:rFonts w:ascii="Arial" w:cs="Arial" w:eastAsia="Arial" w:hAnsi="Arial"/>
                <w:color w:val="1A1A1A"/>
                <w:sz w:val="20"/>
                <w:szCs w:val="20"/>
              </w:rPr>
              <w:t xml:space="preserve">Fragmented market information</w:t>
            </w:r>
          </w:p>
          <w:p>
            <w:pPr>
              <w:spacing w:after="60" w:before="60"/>
            </w:pPr>
            <w:r>
              <w:rPr>
                <w:rFonts w:ascii="Arial" w:cs="Arial" w:eastAsia="Arial" w:hAnsi="Arial"/>
                <w:color w:val="1A1A1A"/>
                <w:sz w:val="20"/>
                <w:szCs w:val="20"/>
              </w:rPr>
              <w:t xml:space="preserve">Limited financial literacy</w:t>
            </w:r>
          </w:p>
          <w:p>
            <w:pPr>
              <w:spacing w:after="60" w:before="60"/>
            </w:pPr>
            <w:r>
              <w:rPr>
                <w:rFonts w:ascii="Arial" w:cs="Arial" w:eastAsia="Arial" w:hAnsi="Arial"/>
                <w:color w:val="1A1A1A"/>
                <w:sz w:val="20"/>
                <w:szCs w:val="20"/>
              </w:rPr>
              <w:t xml:space="preserve">No mobile-first investor tools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60"/>
            </w:pPr>
            <w:r>
              <w:rPr>
                <w:rFonts w:ascii="Arial" w:cs="Arial" w:eastAsia="Arial" w:hAnsi="Arial"/>
                <w:color w:val="1A1A1A"/>
                <w:sz w:val="20"/>
                <w:szCs w:val="20"/>
              </w:rPr>
              <w:t xml:space="preserve">Real-time market dashboards</w:t>
            </w:r>
          </w:p>
          <w:p>
            <w:pPr>
              <w:spacing w:after="60" w:before="60"/>
            </w:pPr>
            <w:r>
              <w:rPr>
                <w:rFonts w:ascii="Arial" w:cs="Arial" w:eastAsia="Arial" w:hAnsi="Arial"/>
                <w:color w:val="1A1A1A"/>
                <w:sz w:val="20"/>
                <w:szCs w:val="20"/>
              </w:rPr>
              <w:t xml:space="preserve">AI-powered investor explanations</w:t>
            </w:r>
          </w:p>
          <w:p>
            <w:pPr>
              <w:spacing w:after="60" w:before="60"/>
            </w:pPr>
            <w:r>
              <w:rPr>
                <w:rFonts w:ascii="Arial" w:cs="Arial" w:eastAsia="Arial" w:hAnsi="Arial"/>
                <w:color w:val="1A1A1A"/>
                <w:sz w:val="20"/>
                <w:szCs w:val="20"/>
              </w:rPr>
              <w:t xml:space="preserve">Interactive education hub</w:t>
            </w:r>
          </w:p>
          <w:p>
            <w:pPr>
              <w:spacing w:after="60" w:before="60"/>
            </w:pPr>
            <w:r>
              <w:rPr>
                <w:rFonts w:ascii="Arial" w:cs="Arial" w:eastAsia="Arial" w:hAnsi="Arial"/>
                <w:color w:val="1A1A1A"/>
                <w:sz w:val="20"/>
                <w:szCs w:val="20"/>
              </w:rPr>
              <w:t xml:space="preserve">Portfolio &amp; dividend tracking</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before="60"/>
            </w:pPr>
            <w:r>
              <w:rPr>
                <w:rFonts w:ascii="Arial" w:cs="Arial" w:eastAsia="Arial" w:hAnsi="Arial"/>
                <w:color w:val="1A1A1A"/>
                <w:sz w:val="20"/>
                <w:szCs w:val="20"/>
              </w:rPr>
              <w:t xml:space="preserve">Higher retail market participation</w:t>
            </w:r>
          </w:p>
          <w:p>
            <w:pPr>
              <w:spacing w:after="60" w:before="60"/>
            </w:pPr>
            <w:r>
              <w:rPr>
                <w:rFonts w:ascii="Arial" w:cs="Arial" w:eastAsia="Arial" w:hAnsi="Arial"/>
                <w:color w:val="1A1A1A"/>
                <w:sz w:val="20"/>
                <w:szCs w:val="20"/>
              </w:rPr>
              <w:t xml:space="preserve">Improved financial inclusion</w:t>
            </w:r>
          </w:p>
          <w:p>
            <w:pPr>
              <w:spacing w:after="60" w:before="60"/>
            </w:pPr>
            <w:r>
              <w:rPr>
                <w:rFonts w:ascii="Arial" w:cs="Arial" w:eastAsia="Arial" w:hAnsi="Arial"/>
                <w:color w:val="1A1A1A"/>
                <w:sz w:val="20"/>
                <w:szCs w:val="20"/>
              </w:rPr>
              <w:t xml:space="preserve">Informed investment decisions</w:t>
            </w:r>
          </w:p>
          <w:p>
            <w:pPr>
              <w:spacing w:after="60" w:before="60"/>
            </w:pPr>
            <w:r>
              <w:rPr>
                <w:rFonts w:ascii="Arial" w:cs="Arial" w:eastAsia="Arial" w:hAnsi="Arial"/>
                <w:color w:val="1A1A1A"/>
                <w:sz w:val="20"/>
                <w:szCs w:val="20"/>
              </w:rPr>
              <w:t xml:space="preserve">Broader economic participation</w:t>
            </w:r>
          </w:p>
        </w:tc>
      </w:tr>
    </w:tbl>
    <w:p>
      <w:pPr>
        <w:spacing w:after="0" w:before="120"/>
      </w:pPr>
      <w:r>
        <w:t xml:space="preserve"/>
      </w:r>
    </w:p>
    <w:p>
      <w:pPr>
        <w:spacing w:after="120" w:before="80"/>
        <w:jc w:val="left"/>
      </w:pPr>
      <w:r>
        <w:rPr>
          <w:rFonts w:ascii="Arial" w:cs="Arial" w:eastAsia="Arial" w:hAnsi="Arial"/>
          <w:color w:val="1A1A1A"/>
          <w:sz w:val="22"/>
          <w:szCs w:val="22"/>
        </w:rPr>
        <w:t xml:space="preserve">This report presents a comprehensive analysis of the problem landscape, the proposed USE Insight platform, its technical architecture, strategic phasing, expected impact, and a sustainability framework for long-term viability.</w:t>
      </w:r>
    </w:p>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1. BACKGROUND &amp; CONTEXT</w:t>
      </w:r>
    </w:p>
    <w:p>
      <w:pPr>
        <w:pStyle w:val="Heading2"/>
        <w:spacing w:after="120" w:before="280"/>
      </w:pPr>
      <w:r>
        <w:rPr>
          <w:rFonts w:ascii="Arial" w:cs="Arial" w:eastAsia="Arial" w:hAnsi="Arial"/>
          <w:b/>
          <w:bCs/>
          <w:color w:val="2E6DA4"/>
          <w:sz w:val="28"/>
          <w:szCs w:val="28"/>
        </w:rPr>
        <w:t xml:space="preserve">1.1 Uganda's Capital Market Landscape</w:t>
      </w:r>
    </w:p>
    <w:p>
      <w:pPr>
        <w:spacing w:after="120" w:before="80"/>
        <w:jc w:val="left"/>
      </w:pPr>
      <w:r>
        <w:rPr>
          <w:rFonts w:ascii="Arial" w:cs="Arial" w:eastAsia="Arial" w:hAnsi="Arial"/>
          <w:color w:val="1A1A1A"/>
          <w:sz w:val="22"/>
          <w:szCs w:val="22"/>
        </w:rPr>
        <w:t xml:space="preserve">The Uganda Securities Exchange (USE), established in 1997, serves as the primary marketplace for trading securities in Uganda. Over the past two decades, the USE has registered several important milestones including the introduction of electronic trading systems and the establishment of the Central Securities Depository (CSD). These investments in digital infrastructure signal Uganda's commitment to modernising its financial markets.</w:t>
      </w:r>
    </w:p>
    <w:p>
      <w:pPr>
        <w:spacing w:after="0" w:before="120"/>
      </w:pPr>
      <w:r>
        <w:t xml:space="preserve"/>
      </w:r>
    </w:p>
    <w:p>
      <w:pPr>
        <w:spacing w:after="120" w:before="80"/>
        <w:jc w:val="left"/>
      </w:pPr>
      <w:r>
        <w:rPr>
          <w:rFonts w:ascii="Arial" w:cs="Arial" w:eastAsia="Arial" w:hAnsi="Arial"/>
          <w:color w:val="1A1A1A"/>
          <w:sz w:val="22"/>
          <w:szCs w:val="22"/>
        </w:rPr>
        <w:t xml:space="preserve">The USE currently lists equities across sectors including banking, telecommunications, insurance, manufacturing, and agricultural commodities. As of recent periods, Uganda's market capitalisation represents a fraction of its economic potential — significantly underperforming relative to regional peers such as Kenya's Nairobi Securities Exchange and Rwanda's Capital Market Authority.</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Despite infrastructure improvements, Uganda's capital market remains largely inaccessible to ordinary citizens — those who stand to benefit most from investment opportunities.</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1.2 The State of Retail Investor Participation</w:t>
      </w:r>
    </w:p>
    <w:p>
      <w:pPr>
        <w:spacing w:after="120" w:before="80"/>
        <w:jc w:val="left"/>
      </w:pPr>
      <w:r>
        <w:rPr>
          <w:rFonts w:ascii="Arial" w:cs="Arial" w:eastAsia="Arial" w:hAnsi="Arial"/>
          <w:color w:val="1A1A1A"/>
          <w:sz w:val="22"/>
          <w:szCs w:val="22"/>
        </w:rPr>
        <w:t xml:space="preserve">Retail investor participation at the USE remains disproportionately low for a country of Uganda's population size and economic trajectory. The dominant participants in the market are institutional investors — pension funds, commercial banks, insurance companies — who collectively drive the majority of trading volumes. Ordinary citizens, university students, youth entrepreneurs, and SACCO members remain largely excluded from meaningful engagement with capital markets.</w:t>
      </w:r>
    </w:p>
    <w:p>
      <w:pPr>
        <w:spacing w:after="0" w:before="120"/>
      </w:pPr>
      <w:r>
        <w:t xml:space="preserve"/>
      </w:r>
    </w:p>
    <w:p>
      <w:pPr>
        <w:spacing w:after="120" w:before="80"/>
        <w:jc w:val="left"/>
      </w:pPr>
      <w:r>
        <w:rPr>
          <w:rFonts w:ascii="Arial" w:cs="Arial" w:eastAsia="Arial" w:hAnsi="Arial"/>
          <w:color w:val="1A1A1A"/>
          <w:sz w:val="22"/>
          <w:szCs w:val="22"/>
        </w:rPr>
        <w:t xml:space="preserve">This exclusion is not fundamentally a product of poverty or disinterest. Research into similar emerging markets reveals that low participation is driven by:</w:t>
      </w:r>
    </w:p>
    <w:p>
      <w:pPr>
        <w:pStyle w:val="ListParagraph"/>
        <w:numPr>
          <w:ilvl w:val="0"/>
          <w:numId w:val="2"/>
        </w:numPr>
        <w:spacing w:after="60" w:before="60"/>
      </w:pPr>
      <w:r>
        <w:rPr>
          <w:rFonts w:ascii="Arial" w:cs="Arial" w:eastAsia="Arial" w:hAnsi="Arial"/>
          <w:color w:val="1A1A1A"/>
          <w:sz w:val="22"/>
          <w:szCs w:val="22"/>
        </w:rPr>
        <w:t xml:space="preserve">Information asymmetry — retail investors cannot access or interpret market data as easily as institutions.</w:t>
      </w:r>
    </w:p>
    <w:p>
      <w:pPr>
        <w:pStyle w:val="ListParagraph"/>
        <w:numPr>
          <w:ilvl w:val="0"/>
          <w:numId w:val="2"/>
        </w:numPr>
        <w:spacing w:after="60" w:before="60"/>
      </w:pPr>
      <w:r>
        <w:rPr>
          <w:rFonts w:ascii="Arial" w:cs="Arial" w:eastAsia="Arial" w:hAnsi="Arial"/>
          <w:color w:val="1A1A1A"/>
          <w:sz w:val="22"/>
          <w:szCs w:val="22"/>
        </w:rPr>
        <w:t xml:space="preserve">Low financial literacy — most citizens lack a foundational understanding of how stock markets, bonds, or dividends work.</w:t>
      </w:r>
    </w:p>
    <w:p>
      <w:pPr>
        <w:pStyle w:val="ListParagraph"/>
        <w:numPr>
          <w:ilvl w:val="0"/>
          <w:numId w:val="2"/>
        </w:numPr>
        <w:spacing w:after="60" w:before="60"/>
      </w:pPr>
      <w:r>
        <w:rPr>
          <w:rFonts w:ascii="Arial" w:cs="Arial" w:eastAsia="Arial" w:hAnsi="Arial"/>
          <w:color w:val="1A1A1A"/>
          <w:sz w:val="22"/>
          <w:szCs w:val="22"/>
        </w:rPr>
        <w:t xml:space="preserve">Poor digital tools — existing platforms are designed for operational trading, not for public engagement or education.</w:t>
      </w:r>
    </w:p>
    <w:p>
      <w:pPr>
        <w:pStyle w:val="ListParagraph"/>
        <w:numPr>
          <w:ilvl w:val="0"/>
          <w:numId w:val="2"/>
        </w:numPr>
        <w:spacing w:after="60" w:before="60"/>
      </w:pPr>
      <w:r>
        <w:rPr>
          <w:rFonts w:ascii="Arial" w:cs="Arial" w:eastAsia="Arial" w:hAnsi="Arial"/>
          <w:color w:val="1A1A1A"/>
          <w:sz w:val="22"/>
          <w:szCs w:val="22"/>
        </w:rPr>
        <w:t xml:space="preserve">Trust deficits — citizens distrust systems they do not understand or cannot engage with.</w:t>
      </w:r>
    </w:p>
    <w:p>
      <w:pPr>
        <w:pStyle w:val="ListParagraph"/>
        <w:numPr>
          <w:ilvl w:val="0"/>
          <w:numId w:val="2"/>
        </w:numPr>
        <w:spacing w:after="60" w:before="60"/>
      </w:pPr>
      <w:r>
        <w:rPr>
          <w:rFonts w:ascii="Arial" w:cs="Arial" w:eastAsia="Arial" w:hAnsi="Arial"/>
          <w:color w:val="1A1A1A"/>
          <w:sz w:val="22"/>
          <w:szCs w:val="22"/>
        </w:rPr>
        <w:t xml:space="preserve">Accessibility barriers — interfaces are rarely mobile-first or designed for low-bandwidth environments.</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1.3 Uganda's Digital Transformation Opportunity</w:t>
      </w:r>
    </w:p>
    <w:p>
      <w:pPr>
        <w:spacing w:after="120" w:before="80"/>
        <w:jc w:val="left"/>
      </w:pPr>
      <w:r>
        <w:rPr>
          <w:rFonts w:ascii="Arial" w:cs="Arial" w:eastAsia="Arial" w:hAnsi="Arial"/>
          <w:color w:val="1A1A1A"/>
          <w:sz w:val="22"/>
          <w:szCs w:val="22"/>
        </w:rPr>
        <w:t xml:space="preserve">Uganda is experiencing accelerating digital adoption. Mobile money penetration has fundamentally transformed how Ugandans transact. Internet penetration continues to grow, driven by affordable smartphones and expanding 4G networks. The National Development Plan III (NDP III) identifies digital transformation as a strategic pillar for economic growth.</w:t>
      </w:r>
    </w:p>
    <w:p>
      <w:pPr>
        <w:spacing w:after="0" w:before="120"/>
      </w:pPr>
      <w:r>
        <w:t xml:space="preserve"/>
      </w:r>
    </w:p>
    <w:p>
      <w:pPr>
        <w:spacing w:after="120" w:before="80"/>
        <w:jc w:val="left"/>
      </w:pPr>
      <w:r>
        <w:rPr>
          <w:rFonts w:ascii="Arial" w:cs="Arial" w:eastAsia="Arial" w:hAnsi="Arial"/>
          <w:color w:val="1A1A1A"/>
          <w:sz w:val="22"/>
          <w:szCs w:val="22"/>
        </w:rPr>
        <w:t xml:space="preserve">This creates a unique and time-sensitive opportunity: to build locally tailored, intelligent financial technology that meets Ugandan investors where they already are — on their mobile devices — and delivers capital market access in a language and format they understand.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Digital Opportunity</w:t>
            </w:r>
          </w:p>
        </w:tc>
        <w:tc>
          <w:tcPr>
            <w:tcW w:type="dxa" w:w="46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Capital Market Challenge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mobile penetration (70%+)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Less than 5% of population invests in securities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Growing youth population (78% under 35)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Youth largely excluded from formal investment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Rapid fintech adoption (Mobile Money)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fintech bridge to capital markets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Government NDP III digital agenda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Limited alignment of capital markets with digital policy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Expanding internet connectivity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Investment platforms not optimised for low bandwidth</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2. PROBLEM STATEMENT</w:t>
      </w:r>
    </w:p>
    <w:p>
      <w:pPr>
        <w:pStyle w:val="Heading2"/>
        <w:spacing w:after="120" w:before="280"/>
      </w:pPr>
      <w:r>
        <w:rPr>
          <w:rFonts w:ascii="Arial" w:cs="Arial" w:eastAsia="Arial" w:hAnsi="Arial"/>
          <w:b/>
          <w:bCs/>
          <w:color w:val="2E6DA4"/>
          <w:sz w:val="28"/>
          <w:szCs w:val="28"/>
        </w:rPr>
        <w:t xml:space="preserve">2.1 Core Problem</w:t>
      </w:r>
    </w:p>
    <w:p>
      <w:pPr>
        <w:spacing w:after="120" w:before="80"/>
        <w:jc w:val="left"/>
      </w:pPr>
      <w:r>
        <w:rPr>
          <w:rFonts w:ascii="Arial" w:cs="Arial" w:eastAsia="Arial" w:hAnsi="Arial"/>
          <w:color w:val="1A1A1A"/>
          <w:sz w:val="22"/>
          <w:szCs w:val="22"/>
        </w:rPr>
        <w:t xml:space="preserve">Retail participation in Uganda's capital markets remains critically low due to a confluence of structural, technological, and behavioural barriers. These barriers do not reflect a lack of investment potential or public capacity — they reflect a systemic failure to design capital market access tools around the needs, literacy levels, and technological realities of ordinary Ugandan citizens.</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The core problem is not that Ugandans cannot invest — it is that the infrastructure designed to support their participation was never built for them.</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2.2 Detailed Problem Analysis</w:t>
      </w:r>
    </w:p>
    <w:p>
      <w:pPr>
        <w:pStyle w:val="Heading3"/>
        <w:spacing w:after="80" w:before="200"/>
      </w:pPr>
      <w:r>
        <w:rPr>
          <w:rFonts w:ascii="Arial" w:cs="Arial" w:eastAsia="Arial" w:hAnsi="Arial"/>
          <w:b/>
          <w:bCs/>
          <w:color w:val="1A3557"/>
          <w:sz w:val="24"/>
          <w:szCs w:val="24"/>
        </w:rPr>
        <w:t xml:space="preserve">2.2.1 Fragmented and Inaccessible Market Information</w:t>
      </w:r>
    </w:p>
    <w:p>
      <w:pPr>
        <w:spacing w:after="120" w:before="80"/>
        <w:jc w:val="left"/>
      </w:pPr>
      <w:r>
        <w:rPr>
          <w:rFonts w:ascii="Arial" w:cs="Arial" w:eastAsia="Arial" w:hAnsi="Arial"/>
          <w:color w:val="1A1A1A"/>
          <w:sz w:val="22"/>
          <w:szCs w:val="22"/>
        </w:rPr>
        <w:t xml:space="preserve">Financial data on listed companies, stock price movements, trading volumes, and market trends are either unavailable to the public in real-time, or available only in formats that require professional financial training to interpret. A first-time investor trying to understand what is happening on the USE today has no accessible, consolidated, layperson-friendly source of truth.</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2.2.2 Absence of Financial Literacy Infrastructure</w:t>
      </w:r>
    </w:p>
    <w:p>
      <w:pPr>
        <w:spacing w:after="120" w:before="80"/>
        <w:jc w:val="left"/>
      </w:pPr>
      <w:r>
        <w:rPr>
          <w:rFonts w:ascii="Arial" w:cs="Arial" w:eastAsia="Arial" w:hAnsi="Arial"/>
          <w:color w:val="1A1A1A"/>
          <w:sz w:val="22"/>
          <w:szCs w:val="22"/>
        </w:rPr>
        <w:t xml:space="preserve">Most Ugandans complete secondary and tertiary education without receiving meaningful education on capital markets, investing, dividends, or securities. Investment clubs and SACCOs exist but typically lack access to structured, credible, and interactive financial education materials tailored to Uganda's market context. The knowledge gap between institutional and retail investors is vast and growing.</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2.2.3 Poor User Experience in Existing Tools</w:t>
      </w:r>
    </w:p>
    <w:p>
      <w:pPr>
        <w:spacing w:after="120" w:before="80"/>
        <w:jc w:val="left"/>
      </w:pPr>
      <w:r>
        <w:rPr>
          <w:rFonts w:ascii="Arial" w:cs="Arial" w:eastAsia="Arial" w:hAnsi="Arial"/>
          <w:color w:val="1A1A1A"/>
          <w:sz w:val="22"/>
          <w:szCs w:val="22"/>
        </w:rPr>
        <w:t xml:space="preserve">Existing platforms associated with USE operations are primarily designed for operational and institutional use. They are not optimised for user experience, they do not offer personalised analytics, and they are rarely mobile-first. The result is a public that finds digital capital market tools intimidating, confusing, or irrelevant to their daily financial decision-making.</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2.2.4 Lack of Intelligent Digital Tools for Retail Investors</w:t>
      </w:r>
    </w:p>
    <w:p>
      <w:pPr>
        <w:spacing w:after="120" w:before="80"/>
        <w:jc w:val="left"/>
      </w:pPr>
      <w:r>
        <w:rPr>
          <w:rFonts w:ascii="Arial" w:cs="Arial" w:eastAsia="Arial" w:hAnsi="Arial"/>
          <w:color w:val="1A1A1A"/>
          <w:sz w:val="22"/>
          <w:szCs w:val="22"/>
        </w:rPr>
        <w:t xml:space="preserve">No locally developed AI-powered tool exists to help ordinary Ugandan investors interpret market events, understand company performance, or receive personalised insights. In developed markets, retail investors benefit from sophisticated tools including AI-generated summaries, robo-advisors, and smart notification systems. Uganda's retail investors have access to none of these.</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2.2.5 Youth and First-Time Investor Exclusion</w:t>
      </w:r>
    </w:p>
    <w:p>
      <w:pPr>
        <w:spacing w:after="120" w:before="80"/>
        <w:jc w:val="left"/>
      </w:pPr>
      <w:r>
        <w:rPr>
          <w:rFonts w:ascii="Arial" w:cs="Arial" w:eastAsia="Arial" w:hAnsi="Arial"/>
          <w:color w:val="1A1A1A"/>
          <w:sz w:val="22"/>
          <w:szCs w:val="22"/>
        </w:rPr>
        <w:t xml:space="preserve">Uganda's youth — who represent the majority of the population and the country's future economic workforce — are almost entirely absent from capital market participation. This exclusion has compounding long-term consequences: it perpetuates wealth concentration, limits domestic capital mobilisation, and reduces the market depth needed for a vibrant securities exchange.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Problem Area</w:t>
            </w:r>
          </w:p>
        </w:tc>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Current Gap</w:t>
            </w:r>
          </w:p>
        </w:tc>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Information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real-time, layperson-friendly data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Uninformed investment decisions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Financial Literacy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structured local investment education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public confidence in markets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AI-powered retail investor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Institutional advantage over retail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 Access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mobile-first investment platforms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Urban/rural digital divide deepens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Youth 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youth-focused market engagement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Lost generation of investors</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3. PROPOSED SOLUTION — USE INSIGHT</w:t>
      </w:r>
    </w:p>
    <w:p>
      <w:pPr>
        <w:pStyle w:val="Heading2"/>
        <w:spacing w:after="120" w:before="280"/>
      </w:pPr>
      <w:r>
        <w:rPr>
          <w:rFonts w:ascii="Arial" w:cs="Arial" w:eastAsia="Arial" w:hAnsi="Arial"/>
          <w:b/>
          <w:bCs/>
          <w:color w:val="2E6DA4"/>
          <w:sz w:val="28"/>
          <w:szCs w:val="28"/>
        </w:rPr>
        <w:t xml:space="preserve">3.1 Platform Overview</w:t>
      </w:r>
    </w:p>
    <w:p>
      <w:pPr>
        <w:spacing w:after="120" w:before="80"/>
        <w:jc w:val="left"/>
      </w:pPr>
      <w:r>
        <w:rPr>
          <w:rFonts w:ascii="Arial" w:cs="Arial" w:eastAsia="Arial" w:hAnsi="Arial"/>
          <w:color w:val="1A1A1A"/>
          <w:sz w:val="22"/>
          <w:szCs w:val="22"/>
        </w:rPr>
        <w:t xml:space="preserve">USE Insight is a smart, secure, and mobile-first investor intelligence platform designed from the ground up to serve Uganda's retail investors. Unlike conventional trading portals, USE Insight does not replicate existing trading infrastructure — it complements it by focusing on the human dimensions of investment: understanding, confidence, accessibility, and engagement.</w:t>
      </w:r>
    </w:p>
    <w:p>
      <w:pPr>
        <w:spacing w:after="0" w:before="120"/>
      </w:pPr>
      <w:r>
        <w:t xml:space="preserve"/>
      </w:r>
    </w:p>
    <w:p>
      <w:pPr>
        <w:spacing w:after="120" w:before="80"/>
        <w:jc w:val="left"/>
      </w:pPr>
      <w:r>
        <w:rPr>
          <w:rFonts w:ascii="Arial" w:cs="Arial" w:eastAsia="Arial" w:hAnsi="Arial"/>
          <w:color w:val="1A1A1A"/>
          <w:sz w:val="22"/>
          <w:szCs w:val="22"/>
        </w:rPr>
        <w:t xml:space="preserve">The platform operates across six integrated capability pillars:</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3.2 Platform Features in Detail</w:t>
      </w:r>
    </w:p>
    <w:p>
      <w:pPr>
        <w:pStyle w:val="Heading3"/>
        <w:spacing w:after="80" w:before="200"/>
      </w:pPr>
      <w:r>
        <w:rPr>
          <w:rFonts w:ascii="Arial" w:cs="Arial" w:eastAsia="Arial" w:hAnsi="Arial"/>
          <w:b/>
          <w:bCs/>
          <w:color w:val="1A3557"/>
          <w:sz w:val="24"/>
          <w:szCs w:val="24"/>
        </w:rPr>
        <w:t xml:space="preserve">3.2.1 Real-Time Market Dashboard</w:t>
      </w:r>
    </w:p>
    <w:p>
      <w:pPr>
        <w:spacing w:after="120" w:before="80"/>
        <w:jc w:val="left"/>
      </w:pPr>
      <w:r>
        <w:rPr>
          <w:rFonts w:ascii="Arial" w:cs="Arial" w:eastAsia="Arial" w:hAnsi="Arial"/>
          <w:color w:val="1A1A1A"/>
          <w:sz w:val="22"/>
          <w:szCs w:val="22"/>
        </w:rPr>
        <w:t xml:space="preserve">The Market Dashboard serves as the platform's primary intelligence hub. It provides retail investors with a clear, visually engaging, and continuously updated view of Uganda's securities market. The dashboard presents listed company overviews, price movement tracking, trading volumes, sector performance, and market activity visualisations — all rendered in a format accessible to non-specialist users.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Listed companies overview with performance indicators</w:t>
      </w:r>
    </w:p>
    <w:p>
      <w:pPr>
        <w:pStyle w:val="ListParagraph"/>
        <w:numPr>
          <w:ilvl w:val="0"/>
          <w:numId w:val="2"/>
        </w:numPr>
        <w:spacing w:after="60" w:before="60"/>
      </w:pPr>
      <w:r>
        <w:rPr>
          <w:rFonts w:ascii="Arial" w:cs="Arial" w:eastAsia="Arial" w:hAnsi="Arial"/>
          <w:color w:val="1A1A1A"/>
          <w:sz w:val="22"/>
          <w:szCs w:val="22"/>
        </w:rPr>
        <w:t xml:space="preserve">Interactive price movement charts and trend visualisations</w:t>
      </w:r>
    </w:p>
    <w:p>
      <w:pPr>
        <w:pStyle w:val="ListParagraph"/>
        <w:numPr>
          <w:ilvl w:val="0"/>
          <w:numId w:val="2"/>
        </w:numPr>
        <w:spacing w:after="60" w:before="60"/>
      </w:pPr>
      <w:r>
        <w:rPr>
          <w:rFonts w:ascii="Arial" w:cs="Arial" w:eastAsia="Arial" w:hAnsi="Arial"/>
          <w:color w:val="1A1A1A"/>
          <w:sz w:val="22"/>
          <w:szCs w:val="22"/>
        </w:rPr>
        <w:t xml:space="preserve">Trading volume statistics and historical comparison</w:t>
      </w:r>
    </w:p>
    <w:p>
      <w:pPr>
        <w:pStyle w:val="ListParagraph"/>
        <w:numPr>
          <w:ilvl w:val="0"/>
          <w:numId w:val="2"/>
        </w:numPr>
        <w:spacing w:after="60" w:before="60"/>
      </w:pPr>
      <w:r>
        <w:rPr>
          <w:rFonts w:ascii="Arial" w:cs="Arial" w:eastAsia="Arial" w:hAnsi="Arial"/>
          <w:color w:val="1A1A1A"/>
          <w:sz w:val="22"/>
          <w:szCs w:val="22"/>
        </w:rPr>
        <w:t xml:space="preserve">Market summary widgets for quick daily orientation</w:t>
      </w:r>
    </w:p>
    <w:p>
      <w:pPr>
        <w:pStyle w:val="ListParagraph"/>
        <w:numPr>
          <w:ilvl w:val="0"/>
          <w:numId w:val="2"/>
        </w:numPr>
        <w:spacing w:after="60" w:before="60"/>
      </w:pPr>
      <w:r>
        <w:rPr>
          <w:rFonts w:ascii="Arial" w:cs="Arial" w:eastAsia="Arial" w:hAnsi="Arial"/>
          <w:color w:val="1A1A1A"/>
          <w:sz w:val="22"/>
          <w:szCs w:val="22"/>
        </w:rPr>
        <w:t xml:space="preserve">Sector-based performance groupings</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3.2.2 AI-Powered Financial Assistant</w:t>
      </w:r>
    </w:p>
    <w:p>
      <w:pPr>
        <w:spacing w:after="120" w:before="80"/>
        <w:jc w:val="left"/>
      </w:pPr>
      <w:r>
        <w:rPr>
          <w:rFonts w:ascii="Arial" w:cs="Arial" w:eastAsia="Arial" w:hAnsi="Arial"/>
          <w:color w:val="1A1A1A"/>
          <w:sz w:val="22"/>
          <w:szCs w:val="22"/>
        </w:rPr>
        <w:t xml:space="preserve">The AI Financial Assistant is the platform's most innovative and differentiating feature. It enables users to ask natural language questions about market events, financial concepts, and company performance — and receive clear, jargon-free, contextualised answers. This directly addresses Uganda's financial literacy gap.</w:t>
      </w:r>
    </w:p>
    <w:p>
      <w:pPr>
        <w:spacing w:after="0" w:before="120"/>
      </w:pPr>
      <w:r>
        <w:t xml:space="preserve"/>
      </w:r>
    </w:p>
    <w:p>
      <w:pPr>
        <w:spacing w:after="120" w:before="80"/>
        <w:jc w:val="left"/>
      </w:pPr>
      <w:r>
        <w:rPr>
          <w:rFonts w:ascii="Arial" w:cs="Arial" w:eastAsia="Arial" w:hAnsi="Arial"/>
          <w:color w:val="1A1A1A"/>
          <w:sz w:val="22"/>
          <w:szCs w:val="22"/>
        </w:rPr>
        <w:t xml:space="preserve">Example interactions the AI assistant handles:</w:t>
      </w:r>
    </w:p>
    <w:p>
      <w:pPr>
        <w:pStyle w:val="ListParagraph"/>
        <w:numPr>
          <w:ilvl w:val="0"/>
          <w:numId w:val="2"/>
        </w:numPr>
        <w:spacing w:after="60" w:before="60"/>
      </w:pPr>
      <w:r>
        <w:rPr>
          <w:rFonts w:ascii="Arial" w:cs="Arial" w:eastAsia="Arial" w:hAnsi="Arial"/>
          <w:color w:val="1A1A1A"/>
          <w:sz w:val="22"/>
          <w:szCs w:val="22"/>
        </w:rPr>
        <w:t xml:space="preserve">"Why did MTN Uganda stock rise today?"</w:t>
      </w:r>
    </w:p>
    <w:p>
      <w:pPr>
        <w:pStyle w:val="ListParagraph"/>
        <w:numPr>
          <w:ilvl w:val="0"/>
          <w:numId w:val="2"/>
        </w:numPr>
        <w:spacing w:after="60" w:before="60"/>
      </w:pPr>
      <w:r>
        <w:rPr>
          <w:rFonts w:ascii="Arial" w:cs="Arial" w:eastAsia="Arial" w:hAnsi="Arial"/>
          <w:color w:val="1A1A1A"/>
          <w:sz w:val="22"/>
          <w:szCs w:val="22"/>
        </w:rPr>
        <w:t xml:space="preserve">"What does it mean when a company pays a dividend?"</w:t>
      </w:r>
    </w:p>
    <w:p>
      <w:pPr>
        <w:pStyle w:val="ListParagraph"/>
        <w:numPr>
          <w:ilvl w:val="0"/>
          <w:numId w:val="2"/>
        </w:numPr>
        <w:spacing w:after="60" w:before="60"/>
      </w:pPr>
      <w:r>
        <w:rPr>
          <w:rFonts w:ascii="Arial" w:cs="Arial" w:eastAsia="Arial" w:hAnsi="Arial"/>
          <w:color w:val="1A1A1A"/>
          <w:sz w:val="22"/>
          <w:szCs w:val="22"/>
        </w:rPr>
        <w:t xml:space="preserve">"Should I be worried about market volatility?"</w:t>
      </w:r>
    </w:p>
    <w:p>
      <w:pPr>
        <w:pStyle w:val="ListParagraph"/>
        <w:numPr>
          <w:ilvl w:val="0"/>
          <w:numId w:val="2"/>
        </w:numPr>
        <w:spacing w:after="60" w:before="60"/>
      </w:pPr>
      <w:r>
        <w:rPr>
          <w:rFonts w:ascii="Arial" w:cs="Arial" w:eastAsia="Arial" w:hAnsi="Arial"/>
          <w:color w:val="1A1A1A"/>
          <w:sz w:val="22"/>
          <w:szCs w:val="22"/>
        </w:rPr>
        <w:t xml:space="preserve">"What is the difference between a bond and a share?"</w:t>
      </w:r>
    </w:p>
    <w:p>
      <w:pPr>
        <w:pStyle w:val="ListParagraph"/>
        <w:numPr>
          <w:ilvl w:val="0"/>
          <w:numId w:val="2"/>
        </w:numPr>
        <w:spacing w:after="60" w:before="60"/>
      </w:pPr>
      <w:r>
        <w:rPr>
          <w:rFonts w:ascii="Arial" w:cs="Arial" w:eastAsia="Arial" w:hAnsi="Arial"/>
          <w:color w:val="1A1A1A"/>
          <w:sz w:val="22"/>
          <w:szCs w:val="22"/>
        </w:rPr>
        <w:t xml:space="preserve">"How do I calculate my investment return?"</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The AI assistant transforms complex financial information into accessible insight — democratising the financial intelligence previously available only to institutional investors and professional analysts.</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3.2.3 Portfolio Tracker</w:t>
      </w:r>
    </w:p>
    <w:p>
      <w:pPr>
        <w:spacing w:after="120" w:before="80"/>
        <w:jc w:val="left"/>
      </w:pPr>
      <w:r>
        <w:rPr>
          <w:rFonts w:ascii="Arial" w:cs="Arial" w:eastAsia="Arial" w:hAnsi="Arial"/>
          <w:color w:val="1A1A1A"/>
          <w:sz w:val="22"/>
          <w:szCs w:val="22"/>
        </w:rPr>
        <w:t xml:space="preserve">The Portfolio Tracker allows registered users to build a personal investment record, monitor growth over time, and calculate actual returns. Users can input their holdings, receive automatic performance calculations, and track dividend earnings — giving them full visibility of their investment health without requiring spreadsheets or professional tools.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Add and manage personal equity holdings</w:t>
      </w:r>
    </w:p>
    <w:p>
      <w:pPr>
        <w:pStyle w:val="ListParagraph"/>
        <w:numPr>
          <w:ilvl w:val="0"/>
          <w:numId w:val="2"/>
        </w:numPr>
        <w:spacing w:after="60" w:before="60"/>
      </w:pPr>
      <w:r>
        <w:rPr>
          <w:rFonts w:ascii="Arial" w:cs="Arial" w:eastAsia="Arial" w:hAnsi="Arial"/>
          <w:color w:val="1A1A1A"/>
          <w:sz w:val="22"/>
          <w:szCs w:val="22"/>
        </w:rPr>
        <w:t xml:space="preserve">Automatic return calculations (capital gain + dividend yield)</w:t>
      </w:r>
    </w:p>
    <w:p>
      <w:pPr>
        <w:pStyle w:val="ListParagraph"/>
        <w:numPr>
          <w:ilvl w:val="0"/>
          <w:numId w:val="2"/>
        </w:numPr>
        <w:spacing w:after="60" w:before="60"/>
      </w:pPr>
      <w:r>
        <w:rPr>
          <w:rFonts w:ascii="Arial" w:cs="Arial" w:eastAsia="Arial" w:hAnsi="Arial"/>
          <w:color w:val="1A1A1A"/>
          <w:sz w:val="22"/>
          <w:szCs w:val="22"/>
        </w:rPr>
        <w:t xml:space="preserve">Historical performance visualisation</w:t>
      </w:r>
    </w:p>
    <w:p>
      <w:pPr>
        <w:pStyle w:val="ListParagraph"/>
        <w:numPr>
          <w:ilvl w:val="0"/>
          <w:numId w:val="2"/>
        </w:numPr>
        <w:spacing w:after="60" w:before="60"/>
      </w:pPr>
      <w:r>
        <w:rPr>
          <w:rFonts w:ascii="Arial" w:cs="Arial" w:eastAsia="Arial" w:hAnsi="Arial"/>
          <w:color w:val="1A1A1A"/>
          <w:sz w:val="22"/>
          <w:szCs w:val="22"/>
        </w:rPr>
        <w:t xml:space="preserve">Dividend timeline and income tracking</w:t>
      </w:r>
    </w:p>
    <w:p>
      <w:pPr>
        <w:pStyle w:val="ListParagraph"/>
        <w:numPr>
          <w:ilvl w:val="0"/>
          <w:numId w:val="2"/>
        </w:numPr>
        <w:spacing w:after="60" w:before="60"/>
      </w:pPr>
      <w:r>
        <w:rPr>
          <w:rFonts w:ascii="Arial" w:cs="Arial" w:eastAsia="Arial" w:hAnsi="Arial"/>
          <w:color w:val="1A1A1A"/>
          <w:sz w:val="22"/>
          <w:szCs w:val="22"/>
        </w:rPr>
        <w:t xml:space="preserve">Comparison against market benchmarks</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3.2.4 Investor Education Hub</w:t>
      </w:r>
    </w:p>
    <w:p>
      <w:pPr>
        <w:spacing w:after="120" w:before="80"/>
        <w:jc w:val="left"/>
      </w:pPr>
      <w:r>
        <w:rPr>
          <w:rFonts w:ascii="Arial" w:cs="Arial" w:eastAsia="Arial" w:hAnsi="Arial"/>
          <w:color w:val="1A1A1A"/>
          <w:sz w:val="22"/>
          <w:szCs w:val="22"/>
        </w:rPr>
        <w:t xml:space="preserve">The Education Hub provides structured, interactive, and locally contextualised learning modules for investors at all levels. Content is designed to progressively build financial knowledge — from basic concepts for first-time investors to more advanced topics such as portfolio diversification and risk management.</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Beginner modules: What is a stock? What is the USE?</w:t>
      </w:r>
    </w:p>
    <w:p>
      <w:pPr>
        <w:pStyle w:val="ListParagraph"/>
        <w:numPr>
          <w:ilvl w:val="0"/>
          <w:numId w:val="2"/>
        </w:numPr>
        <w:spacing w:after="60" w:before="60"/>
      </w:pPr>
      <w:r>
        <w:rPr>
          <w:rFonts w:ascii="Arial" w:cs="Arial" w:eastAsia="Arial" w:hAnsi="Arial"/>
          <w:color w:val="1A1A1A"/>
          <w:sz w:val="22"/>
          <w:szCs w:val="22"/>
        </w:rPr>
        <w:t xml:space="preserve">Intermediate modules: Reading financial statements, understanding dividends</w:t>
      </w:r>
    </w:p>
    <w:p>
      <w:pPr>
        <w:pStyle w:val="ListParagraph"/>
        <w:numPr>
          <w:ilvl w:val="0"/>
          <w:numId w:val="2"/>
        </w:numPr>
        <w:spacing w:after="60" w:before="60"/>
      </w:pPr>
      <w:r>
        <w:rPr>
          <w:rFonts w:ascii="Arial" w:cs="Arial" w:eastAsia="Arial" w:hAnsi="Arial"/>
          <w:color w:val="1A1A1A"/>
          <w:sz w:val="22"/>
          <w:szCs w:val="22"/>
        </w:rPr>
        <w:t xml:space="preserve">Advanced modules: Portfolio theory, market risk, bonds and fixed income</w:t>
      </w:r>
    </w:p>
    <w:p>
      <w:pPr>
        <w:pStyle w:val="ListParagraph"/>
        <w:numPr>
          <w:ilvl w:val="0"/>
          <w:numId w:val="2"/>
        </w:numPr>
        <w:spacing w:after="60" w:before="60"/>
      </w:pPr>
      <w:r>
        <w:rPr>
          <w:rFonts w:ascii="Arial" w:cs="Arial" w:eastAsia="Arial" w:hAnsi="Arial"/>
          <w:color w:val="1A1A1A"/>
          <w:sz w:val="22"/>
          <w:szCs w:val="22"/>
        </w:rPr>
        <w:t xml:space="preserve">Uganda-specific content: Listed companies, USE regulations, investor rights</w:t>
      </w:r>
    </w:p>
    <w:p>
      <w:pPr>
        <w:pStyle w:val="ListParagraph"/>
        <w:numPr>
          <w:ilvl w:val="0"/>
          <w:numId w:val="2"/>
        </w:numPr>
        <w:spacing w:after="60" w:before="60"/>
      </w:pPr>
      <w:r>
        <w:rPr>
          <w:rFonts w:ascii="Arial" w:cs="Arial" w:eastAsia="Arial" w:hAnsi="Arial"/>
          <w:color w:val="1A1A1A"/>
          <w:sz w:val="22"/>
          <w:szCs w:val="22"/>
        </w:rPr>
        <w:t xml:space="preserve">Interactive quizzes and progress tracking</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3.2.5 Smart Alert System</w:t>
      </w:r>
    </w:p>
    <w:p>
      <w:pPr>
        <w:spacing w:after="120" w:before="80"/>
        <w:jc w:val="left"/>
      </w:pPr>
      <w:r>
        <w:rPr>
          <w:rFonts w:ascii="Arial" w:cs="Arial" w:eastAsia="Arial" w:hAnsi="Arial"/>
          <w:color w:val="1A1A1A"/>
          <w:sz w:val="22"/>
          <w:szCs w:val="22"/>
        </w:rPr>
        <w:t xml:space="preserve">The Smart Alert System provides timely, personalised notifications that keep investors engaged and informed without requiring them to constantly monitor the platform. Alerts are configurable and delivered via push notification or email.</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Price movement alerts (configurable thresholds)</w:t>
      </w:r>
    </w:p>
    <w:p>
      <w:pPr>
        <w:pStyle w:val="ListParagraph"/>
        <w:numPr>
          <w:ilvl w:val="0"/>
          <w:numId w:val="2"/>
        </w:numPr>
        <w:spacing w:after="60" w:before="60"/>
      </w:pPr>
      <w:r>
        <w:rPr>
          <w:rFonts w:ascii="Arial" w:cs="Arial" w:eastAsia="Arial" w:hAnsi="Arial"/>
          <w:color w:val="1A1A1A"/>
          <w:sz w:val="22"/>
          <w:szCs w:val="22"/>
        </w:rPr>
        <w:t xml:space="preserve">Dividend announcements for tracked stocks</w:t>
      </w:r>
    </w:p>
    <w:p>
      <w:pPr>
        <w:pStyle w:val="ListParagraph"/>
        <w:numPr>
          <w:ilvl w:val="0"/>
          <w:numId w:val="2"/>
        </w:numPr>
        <w:spacing w:after="60" w:before="60"/>
      </w:pPr>
      <w:r>
        <w:rPr>
          <w:rFonts w:ascii="Arial" w:cs="Arial" w:eastAsia="Arial" w:hAnsi="Arial"/>
          <w:color w:val="1A1A1A"/>
          <w:sz w:val="22"/>
          <w:szCs w:val="22"/>
        </w:rPr>
        <w:t xml:space="preserve">Earnings results and company news</w:t>
      </w:r>
    </w:p>
    <w:p>
      <w:pPr>
        <w:pStyle w:val="ListParagraph"/>
        <w:numPr>
          <w:ilvl w:val="0"/>
          <w:numId w:val="2"/>
        </w:numPr>
        <w:spacing w:after="60" w:before="60"/>
      </w:pPr>
      <w:r>
        <w:rPr>
          <w:rFonts w:ascii="Arial" w:cs="Arial" w:eastAsia="Arial" w:hAnsi="Arial"/>
          <w:color w:val="1A1A1A"/>
          <w:sz w:val="22"/>
          <w:szCs w:val="22"/>
        </w:rPr>
        <w:t xml:space="preserve">Portfolio performance milestones</w:t>
      </w:r>
    </w:p>
    <w:p>
      <w:pPr>
        <w:pStyle w:val="ListParagraph"/>
        <w:numPr>
          <w:ilvl w:val="0"/>
          <w:numId w:val="2"/>
        </w:numPr>
        <w:spacing w:after="60" w:before="60"/>
      </w:pPr>
      <w:r>
        <w:rPr>
          <w:rFonts w:ascii="Arial" w:cs="Arial" w:eastAsia="Arial" w:hAnsi="Arial"/>
          <w:color w:val="1A1A1A"/>
          <w:sz w:val="22"/>
          <w:szCs w:val="22"/>
        </w:rPr>
        <w:t xml:space="preserve">Market opening/closing summaries</w:t>
      </w:r>
    </w:p>
    <w:p>
      <w:pPr>
        <w:spacing w:after="0" w:before="120"/>
      </w:pPr>
      <w:r>
        <w:t xml:space="preserve"/>
      </w:r>
    </w:p>
    <w:p>
      <w:pPr>
        <w:pStyle w:val="Heading3"/>
        <w:spacing w:after="80" w:before="200"/>
      </w:pPr>
      <w:r>
        <w:rPr>
          <w:rFonts w:ascii="Arial" w:cs="Arial" w:eastAsia="Arial" w:hAnsi="Arial"/>
          <w:b/>
          <w:bCs/>
          <w:color w:val="1A3557"/>
          <w:sz w:val="24"/>
          <w:szCs w:val="24"/>
        </w:rPr>
        <w:t xml:space="preserve">3.2.6 Mobile-First Accessibility</w:t>
      </w:r>
    </w:p>
    <w:p>
      <w:pPr>
        <w:spacing w:after="120" w:before="80"/>
        <w:jc w:val="left"/>
      </w:pPr>
      <w:r>
        <w:rPr>
          <w:rFonts w:ascii="Arial" w:cs="Arial" w:eastAsia="Arial" w:hAnsi="Arial"/>
          <w:color w:val="1A1A1A"/>
          <w:sz w:val="22"/>
          <w:szCs w:val="22"/>
        </w:rPr>
        <w:t xml:space="preserve">All platform features are designed with mobile-first principles, recognising that the majority of Uganda's internet users access the web via smartphone on mobile data networks. The platform implements low-data optimisation, progressive loading, and responsive design — ensuring usability across different device capabilities and network conditions.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Optimised for 2G/3G/4G environments</w:t>
      </w:r>
    </w:p>
    <w:p>
      <w:pPr>
        <w:pStyle w:val="ListParagraph"/>
        <w:numPr>
          <w:ilvl w:val="0"/>
          <w:numId w:val="2"/>
        </w:numPr>
        <w:spacing w:after="60" w:before="60"/>
      </w:pPr>
      <w:r>
        <w:rPr>
          <w:rFonts w:ascii="Arial" w:cs="Arial" w:eastAsia="Arial" w:hAnsi="Arial"/>
          <w:color w:val="1A1A1A"/>
          <w:sz w:val="22"/>
          <w:szCs w:val="22"/>
        </w:rPr>
        <w:t xml:space="preserve">Responsive design across all screen sizes</w:t>
      </w:r>
    </w:p>
    <w:p>
      <w:pPr>
        <w:pStyle w:val="ListParagraph"/>
        <w:numPr>
          <w:ilvl w:val="0"/>
          <w:numId w:val="2"/>
        </w:numPr>
        <w:spacing w:after="60" w:before="60"/>
      </w:pPr>
      <w:r>
        <w:rPr>
          <w:rFonts w:ascii="Arial" w:cs="Arial" w:eastAsia="Arial" w:hAnsi="Arial"/>
          <w:color w:val="1A1A1A"/>
          <w:sz w:val="22"/>
          <w:szCs w:val="22"/>
        </w:rPr>
        <w:t xml:space="preserve">Offline content caching for education modules</w:t>
      </w:r>
    </w:p>
    <w:p>
      <w:pPr>
        <w:pStyle w:val="ListParagraph"/>
        <w:numPr>
          <w:ilvl w:val="0"/>
          <w:numId w:val="2"/>
        </w:numPr>
        <w:spacing w:after="60" w:before="60"/>
      </w:pPr>
      <w:r>
        <w:rPr>
          <w:rFonts w:ascii="Arial" w:cs="Arial" w:eastAsia="Arial" w:hAnsi="Arial"/>
          <w:color w:val="1A1A1A"/>
          <w:sz w:val="22"/>
          <w:szCs w:val="22"/>
        </w:rPr>
        <w:t xml:space="preserve">Planned USSD integration for feature phone access</w:t>
      </w:r>
    </w:p>
    <w:p>
      <w:pPr>
        <w:pStyle w:val="ListParagraph"/>
        <w:numPr>
          <w:ilvl w:val="0"/>
          <w:numId w:val="2"/>
        </w:numPr>
        <w:spacing w:after="60" w:before="60"/>
      </w:pPr>
      <w:r>
        <w:rPr>
          <w:rFonts w:ascii="Arial" w:cs="Arial" w:eastAsia="Arial" w:hAnsi="Arial"/>
          <w:color w:val="1A1A1A"/>
          <w:sz w:val="22"/>
          <w:szCs w:val="22"/>
        </w:rPr>
        <w:t xml:space="preserve">Future native mobile application (Android/iOS)</w:t>
      </w:r>
    </w:p>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4. TECHNICAL ARCHITECTURE</w:t>
      </w:r>
    </w:p>
    <w:p>
      <w:pPr>
        <w:pStyle w:val="Heading2"/>
        <w:spacing w:after="120" w:before="280"/>
      </w:pPr>
      <w:r>
        <w:rPr>
          <w:rFonts w:ascii="Arial" w:cs="Arial" w:eastAsia="Arial" w:hAnsi="Arial"/>
          <w:b/>
          <w:bCs/>
          <w:color w:val="2E6DA4"/>
          <w:sz w:val="28"/>
          <w:szCs w:val="28"/>
        </w:rPr>
        <w:t xml:space="preserve">4.1 Architecture Overview</w:t>
      </w:r>
    </w:p>
    <w:p>
      <w:pPr>
        <w:spacing w:after="120" w:before="80"/>
        <w:jc w:val="left"/>
      </w:pPr>
      <w:r>
        <w:rPr>
          <w:rFonts w:ascii="Arial" w:cs="Arial" w:eastAsia="Arial" w:hAnsi="Arial"/>
          <w:color w:val="1A1A1A"/>
          <w:sz w:val="22"/>
          <w:szCs w:val="22"/>
        </w:rPr>
        <w:t xml:space="preserve">USE Insight is built on a modern, scalable, and security-conscious technology stack. The architecture is designed to support both the MVP phase and future scaling to accommodate growing user bases, additional data sources, and expanded AI capabilities.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0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React.js + Tailwind CSS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interface, dashboards, responsive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Visualisation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Recharts / Plotly</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Interactive charts, market graphs, portfolio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logic, data processing, REST API services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JWT (JSON Web Tokens)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Secure user sessions and role-based access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user data, portfolios, watchlists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AI Layer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API / Local LLM</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Natural language Q&amp;A, market summaries, explanations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Cloud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Containerised deployment, scalability, reliability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 + GitHub</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Code management, collaboration, CI/CD pipeline</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4.2 Security Framework</w:t>
      </w:r>
    </w:p>
    <w:p>
      <w:pPr>
        <w:spacing w:after="120" w:before="80"/>
        <w:jc w:val="left"/>
      </w:pPr>
      <w:r>
        <w:rPr>
          <w:rFonts w:ascii="Arial" w:cs="Arial" w:eastAsia="Arial" w:hAnsi="Arial"/>
          <w:color w:val="1A1A1A"/>
          <w:sz w:val="22"/>
          <w:szCs w:val="22"/>
        </w:rPr>
        <w:t xml:space="preserve">Given the sensitive nature of financial data, USE Insight implements a comprehensive security framework aligned with industry best practices: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Encrypted communication — all data transmitted via HTTPS/TLS</w:t>
      </w:r>
    </w:p>
    <w:p>
      <w:pPr>
        <w:pStyle w:val="ListParagraph"/>
        <w:numPr>
          <w:ilvl w:val="0"/>
          <w:numId w:val="2"/>
        </w:numPr>
        <w:spacing w:after="60" w:before="60"/>
      </w:pPr>
      <w:r>
        <w:rPr>
          <w:rFonts w:ascii="Arial" w:cs="Arial" w:eastAsia="Arial" w:hAnsi="Arial"/>
          <w:color w:val="1A1A1A"/>
          <w:sz w:val="22"/>
          <w:szCs w:val="22"/>
        </w:rPr>
        <w:t xml:space="preserve">Secure authentication — JWT-based sessions with token expiry and refresh</w:t>
      </w:r>
    </w:p>
    <w:p>
      <w:pPr>
        <w:pStyle w:val="ListParagraph"/>
        <w:numPr>
          <w:ilvl w:val="0"/>
          <w:numId w:val="2"/>
        </w:numPr>
        <w:spacing w:after="60" w:before="60"/>
      </w:pPr>
      <w:r>
        <w:rPr>
          <w:rFonts w:ascii="Arial" w:cs="Arial" w:eastAsia="Arial" w:hAnsi="Arial"/>
          <w:color w:val="1A1A1A"/>
          <w:sz w:val="22"/>
          <w:szCs w:val="22"/>
        </w:rPr>
        <w:t xml:space="preserve">Role-based access control — differentiated permissions for users, brokers, and administrators</w:t>
      </w:r>
    </w:p>
    <w:p>
      <w:pPr>
        <w:pStyle w:val="ListParagraph"/>
        <w:numPr>
          <w:ilvl w:val="0"/>
          <w:numId w:val="2"/>
        </w:numPr>
        <w:spacing w:after="60" w:before="60"/>
      </w:pPr>
      <w:r>
        <w:rPr>
          <w:rFonts w:ascii="Arial" w:cs="Arial" w:eastAsia="Arial" w:hAnsi="Arial"/>
          <w:color w:val="1A1A1A"/>
          <w:sz w:val="22"/>
          <w:szCs w:val="22"/>
        </w:rPr>
        <w:t xml:space="preserve">API protection — rate limiting, input validation, and API key management</w:t>
      </w:r>
    </w:p>
    <w:p>
      <w:pPr>
        <w:pStyle w:val="ListParagraph"/>
        <w:numPr>
          <w:ilvl w:val="0"/>
          <w:numId w:val="2"/>
        </w:numPr>
        <w:spacing w:after="60" w:before="60"/>
      </w:pPr>
      <w:r>
        <w:rPr>
          <w:rFonts w:ascii="Arial" w:cs="Arial" w:eastAsia="Arial" w:hAnsi="Arial"/>
          <w:color w:val="1A1A1A"/>
          <w:sz w:val="22"/>
          <w:szCs w:val="22"/>
        </w:rPr>
        <w:t xml:space="preserve">Audit logging — comprehensive activity logs for compliance and forensic analysis</w:t>
      </w:r>
    </w:p>
    <w:p>
      <w:pPr>
        <w:pStyle w:val="ListParagraph"/>
        <w:numPr>
          <w:ilvl w:val="0"/>
          <w:numId w:val="2"/>
        </w:numPr>
        <w:spacing w:after="60" w:before="60"/>
      </w:pPr>
      <w:r>
        <w:rPr>
          <w:rFonts w:ascii="Arial" w:cs="Arial" w:eastAsia="Arial" w:hAnsi="Arial"/>
          <w:color w:val="1A1A1A"/>
          <w:sz w:val="22"/>
          <w:szCs w:val="22"/>
        </w:rPr>
        <w:t xml:space="preserve">Secure password management — bcrypt hashing, no plain-text password storage</w:t>
      </w:r>
    </w:p>
    <w:p>
      <w:pPr>
        <w:pStyle w:val="ListParagraph"/>
        <w:numPr>
          <w:ilvl w:val="0"/>
          <w:numId w:val="2"/>
        </w:numPr>
        <w:spacing w:after="60" w:before="60"/>
      </w:pPr>
      <w:r>
        <w:rPr>
          <w:rFonts w:ascii="Arial" w:cs="Arial" w:eastAsia="Arial" w:hAnsi="Arial"/>
          <w:color w:val="1A1A1A"/>
          <w:sz w:val="22"/>
          <w:szCs w:val="22"/>
        </w:rPr>
        <w:t xml:space="preserve">Infrastructure monitoring — anomaly detection and real-time alerting</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4.3 AI Integration Strategy</w:t>
      </w:r>
    </w:p>
    <w:p>
      <w:pPr>
        <w:spacing w:after="120" w:before="80"/>
        <w:jc w:val="left"/>
      </w:pPr>
      <w:r>
        <w:rPr>
          <w:rFonts w:ascii="Arial" w:cs="Arial" w:eastAsia="Arial" w:hAnsi="Arial"/>
          <w:color w:val="1A1A1A"/>
          <w:sz w:val="22"/>
          <w:szCs w:val="22"/>
        </w:rPr>
        <w:t xml:space="preserve">The AI layer is central to USE Insight's value proposition. The platform employs a hybrid AI strategy:</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Phase 1 (MVP): Integration with OpenAI GPT API for natural language processing, market summary generation, and investor Q&amp;A.</w:t>
      </w:r>
    </w:p>
    <w:p>
      <w:pPr>
        <w:pStyle w:val="ListParagraph"/>
        <w:numPr>
          <w:ilvl w:val="0"/>
          <w:numId w:val="2"/>
        </w:numPr>
        <w:spacing w:after="60" w:before="60"/>
      </w:pPr>
      <w:r>
        <w:rPr>
          <w:rFonts w:ascii="Arial" w:cs="Arial" w:eastAsia="Arial" w:hAnsi="Arial"/>
          <w:color w:val="1A1A1A"/>
          <w:sz w:val="22"/>
          <w:szCs w:val="22"/>
        </w:rPr>
        <w:t xml:space="preserve">Phase 2: Evaluation and potential integration of local/open-source language models (e.g., Llama, Mistral) for data sovereignty, cost efficiency, and offline capability.</w:t>
      </w:r>
    </w:p>
    <w:p>
      <w:pPr>
        <w:pStyle w:val="ListParagraph"/>
        <w:numPr>
          <w:ilvl w:val="0"/>
          <w:numId w:val="2"/>
        </w:numPr>
        <w:spacing w:after="60" w:before="60"/>
      </w:pPr>
      <w:r>
        <w:rPr>
          <w:rFonts w:ascii="Arial" w:cs="Arial" w:eastAsia="Arial" w:hAnsi="Arial"/>
          <w:color w:val="1A1A1A"/>
          <w:sz w:val="22"/>
          <w:szCs w:val="22"/>
        </w:rPr>
        <w:t xml:space="preserve">Phase 3: Development of a Uganda-specific financial AI fine-tuned on USE market data, listed company reports, and local regulatory frameworks.</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The AI layer is designed to be model-agnostic — allowing seamless switching between AI providers as the technology landscape evolves, without disrupting core platform functionality.</w:t>
      </w:r>
    </w:p>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5. IMPLEMENTATION STRATEGY</w:t>
      </w:r>
    </w:p>
    <w:p>
      <w:pPr>
        <w:pStyle w:val="Heading2"/>
        <w:spacing w:after="120" w:before="280"/>
      </w:pPr>
      <w:r>
        <w:rPr>
          <w:rFonts w:ascii="Arial" w:cs="Arial" w:eastAsia="Arial" w:hAnsi="Arial"/>
          <w:b/>
          <w:bCs/>
          <w:color w:val="2E6DA4"/>
          <w:sz w:val="28"/>
          <w:szCs w:val="28"/>
        </w:rPr>
        <w:t xml:space="preserve">5.1 Phased Development Plan</w:t>
      </w:r>
    </w:p>
    <w:p>
      <w:pPr>
        <w:spacing w:after="120" w:before="80"/>
        <w:jc w:val="left"/>
      </w:pPr>
      <w:r>
        <w:rPr>
          <w:rFonts w:ascii="Arial" w:cs="Arial" w:eastAsia="Arial" w:hAnsi="Arial"/>
          <w:color w:val="1A1A1A"/>
          <w:sz w:val="22"/>
          <w:szCs w:val="22"/>
        </w:rPr>
        <w:t xml:space="preserve">USE Insight follows a disciplined, phased development approach that prioritises delivering working, testable value at each stage while progressively expanding capabilities.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rPr>
          <w:tblHeader/>
        </w:trPr>
        <w:tc>
          <w:tcPr>
            <w:tcW w:type="dxa" w:w="144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16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96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c>
          <w:tcPr>
            <w:tcW w:type="dxa" w:w="180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Research &amp; Design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Requirements analysis, system architecture, UI/UX wireframes, stakeholder consultations, data source identification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1–4</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Core Development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Backend API, database, authentication, market dashboard, portfolio tracker, frontend implementation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Weeks 5–12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Integration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financial assistant, smart alerts, education hub, AI-generated market summaries, notification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13–18</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Testing &amp; QA</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Security audits, load testing, UX testing with real users, bug resolution, performance optimisation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Weeks 19–22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Launch &amp; Feedback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Prototype showcase, stakeholder demos, government presentations, public beta launch, iteration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23–26</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5.2 Minimum Viable Product (MVP) Scope</w:t>
      </w:r>
    </w:p>
    <w:p>
      <w:pPr>
        <w:spacing w:after="120" w:before="80"/>
        <w:jc w:val="left"/>
      </w:pPr>
      <w:r>
        <w:rPr>
          <w:rFonts w:ascii="Arial" w:cs="Arial" w:eastAsia="Arial" w:hAnsi="Arial"/>
          <w:color w:val="1A1A1A"/>
          <w:sz w:val="22"/>
          <w:szCs w:val="22"/>
        </w:rPr>
        <w:t xml:space="preserve">The MVP is designed to demonstrate core value and validate platform assumptions with real users, while remaining technically achievable within the initial development timeframe. The MVP includes:</w:t>
      </w:r>
    </w:p>
    <w:p>
      <w:pPr>
        <w:spacing w:after="0" w:before="120"/>
      </w:pPr>
      <w:r>
        <w:t xml:space="preserve"/>
      </w:r>
    </w:p>
    <w:p>
      <w:pPr>
        <w:pStyle w:val="ListParagraph"/>
        <w:numPr>
          <w:ilvl w:val="0"/>
          <w:numId w:val="3"/>
        </w:numPr>
        <w:spacing w:after="60" w:before="60"/>
      </w:pPr>
      <w:r>
        <w:rPr>
          <w:rFonts w:ascii="Arial" w:cs="Arial" w:eastAsia="Arial" w:hAnsi="Arial"/>
          <w:color w:val="1A1A1A"/>
          <w:sz w:val="22"/>
          <w:szCs w:val="22"/>
        </w:rPr>
        <w:t xml:space="preserve">Market Dashboard — real-time USE market overview and company listings</w:t>
      </w:r>
    </w:p>
    <w:p>
      <w:pPr>
        <w:pStyle w:val="ListParagraph"/>
        <w:numPr>
          <w:ilvl w:val="0"/>
          <w:numId w:val="3"/>
        </w:numPr>
        <w:spacing w:after="60" w:before="60"/>
      </w:pPr>
      <w:r>
        <w:rPr>
          <w:rFonts w:ascii="Arial" w:cs="Arial" w:eastAsia="Arial" w:hAnsi="Arial"/>
          <w:color w:val="1A1A1A"/>
          <w:sz w:val="22"/>
          <w:szCs w:val="22"/>
        </w:rPr>
        <w:t xml:space="preserve">Portfolio Tracker — personal holdings management and return calculation</w:t>
      </w:r>
    </w:p>
    <w:p>
      <w:pPr>
        <w:pStyle w:val="ListParagraph"/>
        <w:numPr>
          <w:ilvl w:val="0"/>
          <w:numId w:val="3"/>
        </w:numPr>
        <w:spacing w:after="60" w:before="60"/>
      </w:pPr>
      <w:r>
        <w:rPr>
          <w:rFonts w:ascii="Arial" w:cs="Arial" w:eastAsia="Arial" w:hAnsi="Arial"/>
          <w:color w:val="1A1A1A"/>
          <w:sz w:val="22"/>
          <w:szCs w:val="22"/>
        </w:rPr>
        <w:t xml:space="preserve">AI Financial Assistant — natural language Q&amp;A on market topics</w:t>
      </w:r>
    </w:p>
    <w:p>
      <w:pPr>
        <w:pStyle w:val="ListParagraph"/>
        <w:numPr>
          <w:ilvl w:val="0"/>
          <w:numId w:val="3"/>
        </w:numPr>
        <w:spacing w:after="60" w:before="60"/>
      </w:pPr>
      <w:r>
        <w:rPr>
          <w:rFonts w:ascii="Arial" w:cs="Arial" w:eastAsia="Arial" w:hAnsi="Arial"/>
          <w:color w:val="1A1A1A"/>
          <w:sz w:val="22"/>
          <w:szCs w:val="22"/>
        </w:rPr>
        <w:t xml:space="preserve">Investor Education Hub — beginner to intermediate learning modules</w:t>
      </w:r>
    </w:p>
    <w:p>
      <w:pPr>
        <w:pStyle w:val="ListParagraph"/>
        <w:numPr>
          <w:ilvl w:val="0"/>
          <w:numId w:val="3"/>
        </w:numPr>
        <w:spacing w:after="60" w:before="60"/>
      </w:pPr>
      <w:r>
        <w:rPr>
          <w:rFonts w:ascii="Arial" w:cs="Arial" w:eastAsia="Arial" w:hAnsi="Arial"/>
          <w:color w:val="1A1A1A"/>
          <w:sz w:val="22"/>
          <w:szCs w:val="22"/>
        </w:rPr>
        <w:t xml:space="preserve">Smart Alert System — basic price and dividend notifications</w:t>
      </w:r>
    </w:p>
    <w:p>
      <w:pPr>
        <w:pStyle w:val="ListParagraph"/>
        <w:numPr>
          <w:ilvl w:val="0"/>
          <w:numId w:val="3"/>
        </w:numPr>
        <w:spacing w:after="60" w:before="60"/>
      </w:pPr>
      <w:r>
        <w:rPr>
          <w:rFonts w:ascii="Arial" w:cs="Arial" w:eastAsia="Arial" w:hAnsi="Arial"/>
          <w:color w:val="1A1A1A"/>
          <w:sz w:val="22"/>
          <w:szCs w:val="22"/>
        </w:rPr>
        <w:t xml:space="preserve">User Authentication — secure registration, login, and profile management</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5.3 Target User Acquisition Strategy</w:t>
      </w:r>
    </w:p>
    <w:p>
      <w:pPr>
        <w:spacing w:after="120" w:before="80"/>
        <w:jc w:val="left"/>
      </w:pPr>
      <w:r>
        <w:rPr>
          <w:rFonts w:ascii="Arial" w:cs="Arial" w:eastAsia="Arial" w:hAnsi="Arial"/>
          <w:color w:val="1A1A1A"/>
          <w:sz w:val="22"/>
          <w:szCs w:val="22"/>
        </w:rPr>
        <w:t xml:space="preserve">USE Insight targets a diverse user base, with a particular focus on underserved segments: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User Segment</w:t>
            </w:r>
          </w:p>
        </w:tc>
        <w:tc>
          <w:tcPr>
            <w:tcW w:type="dxa" w:w="32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Estimated Size</w:t>
            </w:r>
          </w:p>
        </w:tc>
        <w:tc>
          <w:tcPr>
            <w:tcW w:type="dxa" w:w="328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Engagement Strategy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Investors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~50,000 current USE account holders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partnership with USE and licensed brokers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University Students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~250,000 enrolled nationally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Campus ambassador programmes, university partnerships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SACCO Members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million nationally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Partnership with SACCO umbrella bodies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Investment Clubs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~2,000 registered clubs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club portfolio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First-Time Investors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Broad public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literacy campaigns, social media engagement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Brokers &amp; Advisors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Licensed USE broker network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B2B integration tools and premium analytics</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6. EXPECTED IMPACT</w:t>
      </w:r>
    </w:p>
    <w:p>
      <w:pPr>
        <w:pStyle w:val="Heading2"/>
        <w:spacing w:after="120" w:before="280"/>
      </w:pPr>
      <w:r>
        <w:rPr>
          <w:rFonts w:ascii="Arial" w:cs="Arial" w:eastAsia="Arial" w:hAnsi="Arial"/>
          <w:b/>
          <w:bCs/>
          <w:color w:val="2E6DA4"/>
          <w:sz w:val="28"/>
          <w:szCs w:val="28"/>
        </w:rPr>
        <w:t xml:space="preserve">6.1 Economic Impact</w:t>
      </w:r>
    </w:p>
    <w:p>
      <w:pPr>
        <w:spacing w:after="120" w:before="80"/>
        <w:jc w:val="left"/>
      </w:pPr>
      <w:r>
        <w:rPr>
          <w:rFonts w:ascii="Arial" w:cs="Arial" w:eastAsia="Arial" w:hAnsi="Arial"/>
          <w:color w:val="1A1A1A"/>
          <w:sz w:val="22"/>
          <w:szCs w:val="22"/>
        </w:rPr>
        <w:t xml:space="preserve">USE Insight is designed to generate measurable economic impact at both micro and macro levels: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Increased domestic capital mobilisation — greater retail participation increases liquidity and market depth at the USE.</w:t>
      </w:r>
    </w:p>
    <w:p>
      <w:pPr>
        <w:pStyle w:val="ListParagraph"/>
        <w:numPr>
          <w:ilvl w:val="0"/>
          <w:numId w:val="2"/>
        </w:numPr>
        <w:spacing w:after="60" w:before="60"/>
      </w:pPr>
      <w:r>
        <w:rPr>
          <w:rFonts w:ascii="Arial" w:cs="Arial" w:eastAsia="Arial" w:hAnsi="Arial"/>
          <w:color w:val="1A1A1A"/>
          <w:sz w:val="22"/>
          <w:szCs w:val="22"/>
        </w:rPr>
        <w:t xml:space="preserve">Improved allocation of national savings — citizens who understand investment options can direct savings into productive capital markets rather than only informal savings groups.</w:t>
      </w:r>
    </w:p>
    <w:p>
      <w:pPr>
        <w:pStyle w:val="ListParagraph"/>
        <w:numPr>
          <w:ilvl w:val="0"/>
          <w:numId w:val="2"/>
        </w:numPr>
        <w:spacing w:after="60" w:before="60"/>
      </w:pPr>
      <w:r>
        <w:rPr>
          <w:rFonts w:ascii="Arial" w:cs="Arial" w:eastAsia="Arial" w:hAnsi="Arial"/>
          <w:color w:val="1A1A1A"/>
          <w:sz w:val="22"/>
          <w:szCs w:val="22"/>
        </w:rPr>
        <w:t xml:space="preserve">Support for listed companies — increased retail investor interest supports share demand and company valuations.</w:t>
      </w:r>
    </w:p>
    <w:p>
      <w:pPr>
        <w:pStyle w:val="ListParagraph"/>
        <w:numPr>
          <w:ilvl w:val="0"/>
          <w:numId w:val="2"/>
        </w:numPr>
        <w:spacing w:after="60" w:before="60"/>
      </w:pPr>
      <w:r>
        <w:rPr>
          <w:rFonts w:ascii="Arial" w:cs="Arial" w:eastAsia="Arial" w:hAnsi="Arial"/>
          <w:color w:val="1A1A1A"/>
          <w:sz w:val="22"/>
          <w:szCs w:val="22"/>
        </w:rPr>
        <w:t xml:space="preserve">Contribution to NDP III targets — aligns with government goals for financial sector deepening and digital economic transformation.</w:t>
      </w:r>
    </w:p>
    <w:p>
      <w:pPr>
        <w:pStyle w:val="ListParagraph"/>
        <w:numPr>
          <w:ilvl w:val="0"/>
          <w:numId w:val="2"/>
        </w:numPr>
        <w:spacing w:after="60" w:before="60"/>
      </w:pPr>
      <w:r>
        <w:rPr>
          <w:rFonts w:ascii="Arial" w:cs="Arial" w:eastAsia="Arial" w:hAnsi="Arial"/>
          <w:color w:val="1A1A1A"/>
          <w:sz w:val="22"/>
          <w:szCs w:val="22"/>
        </w:rPr>
        <w:t xml:space="preserve">Reduced capital flight — by providing compelling local investment intelligence, the platform discourages capital from leaving Uganda's formal financial ecosystem.</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6.2 Social Impact</w:t>
      </w:r>
    </w:p>
    <w:p>
      <w:pPr>
        <w:spacing w:after="120" w:before="80"/>
        <w:jc w:val="left"/>
      </w:pPr>
      <w:r>
        <w:rPr>
          <w:rFonts w:ascii="Arial" w:cs="Arial" w:eastAsia="Arial" w:hAnsi="Arial"/>
          <w:color w:val="1A1A1A"/>
          <w:sz w:val="22"/>
          <w:szCs w:val="22"/>
        </w:rPr>
        <w:t xml:space="preserve">Beyond economics, USE Insight generates profound social transformation:</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Democratisation of wealth creation — investment opportunities historically available only to the affluent become accessible to ordinary citizens.</w:t>
      </w:r>
    </w:p>
    <w:p>
      <w:pPr>
        <w:pStyle w:val="ListParagraph"/>
        <w:numPr>
          <w:ilvl w:val="0"/>
          <w:numId w:val="2"/>
        </w:numPr>
        <w:spacing w:after="60" w:before="60"/>
      </w:pPr>
      <w:r>
        <w:rPr>
          <w:rFonts w:ascii="Arial" w:cs="Arial" w:eastAsia="Arial" w:hAnsi="Arial"/>
          <w:color w:val="1A1A1A"/>
          <w:sz w:val="22"/>
          <w:szCs w:val="22"/>
        </w:rPr>
        <w:t xml:space="preserve">Youth financial empowerment — a new generation of financially literate, investment-aware young Ugandans.</w:t>
      </w:r>
    </w:p>
    <w:p>
      <w:pPr>
        <w:pStyle w:val="ListParagraph"/>
        <w:numPr>
          <w:ilvl w:val="0"/>
          <w:numId w:val="2"/>
        </w:numPr>
        <w:spacing w:after="60" w:before="60"/>
      </w:pPr>
      <w:r>
        <w:rPr>
          <w:rFonts w:ascii="Arial" w:cs="Arial" w:eastAsia="Arial" w:hAnsi="Arial"/>
          <w:color w:val="1A1A1A"/>
          <w:sz w:val="22"/>
          <w:szCs w:val="22"/>
        </w:rPr>
        <w:t xml:space="preserve">Gender inclusion — mobile-first, accessible design reduces traditional barriers to female participation in capital markets.</w:t>
      </w:r>
    </w:p>
    <w:p>
      <w:pPr>
        <w:pStyle w:val="ListParagraph"/>
        <w:numPr>
          <w:ilvl w:val="0"/>
          <w:numId w:val="2"/>
        </w:numPr>
        <w:spacing w:after="60" w:before="60"/>
      </w:pPr>
      <w:r>
        <w:rPr>
          <w:rFonts w:ascii="Arial" w:cs="Arial" w:eastAsia="Arial" w:hAnsi="Arial"/>
          <w:color w:val="1A1A1A"/>
          <w:sz w:val="22"/>
          <w:szCs w:val="22"/>
        </w:rPr>
        <w:t xml:space="preserve">Rural-urban equity — low-bandwidth design ensures that geographic location does not determine access to investment tools.</w:t>
      </w:r>
    </w:p>
    <w:p>
      <w:pPr>
        <w:pStyle w:val="ListParagraph"/>
        <w:numPr>
          <w:ilvl w:val="0"/>
          <w:numId w:val="2"/>
        </w:numPr>
        <w:spacing w:after="60" w:before="60"/>
      </w:pPr>
      <w:r>
        <w:rPr>
          <w:rFonts w:ascii="Arial" w:cs="Arial" w:eastAsia="Arial" w:hAnsi="Arial"/>
          <w:color w:val="1A1A1A"/>
          <w:sz w:val="22"/>
          <w:szCs w:val="22"/>
        </w:rPr>
        <w:t xml:space="preserve">Strengthened public trust in financial institutions — transparent, accessible tools improve citizen confidence in formal financial systems.</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6.3 Technological Impact</w:t>
      </w:r>
    </w:p>
    <w:p>
      <w:pPr>
        <w:spacing w:after="120" w:before="80"/>
        <w:jc w:val="left"/>
      </w:pPr>
      <w:r>
        <w:rPr>
          <w:rFonts w:ascii="Arial" w:cs="Arial" w:eastAsia="Arial" w:hAnsi="Arial"/>
          <w:color w:val="1A1A1A"/>
          <w:sz w:val="22"/>
          <w:szCs w:val="22"/>
        </w:rPr>
        <w:t xml:space="preserve">USE Insight makes a strategic contribution to Uganda's technology ecosystem:</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Proof of concept for locally developed AI-powered fintech — demonstrating Uganda's capacity to build sophisticated financial technology domestically.</w:t>
      </w:r>
    </w:p>
    <w:p>
      <w:pPr>
        <w:pStyle w:val="ListParagraph"/>
        <w:numPr>
          <w:ilvl w:val="0"/>
          <w:numId w:val="2"/>
        </w:numPr>
        <w:spacing w:after="60" w:before="60"/>
      </w:pPr>
      <w:r>
        <w:rPr>
          <w:rFonts w:ascii="Arial" w:cs="Arial" w:eastAsia="Arial" w:hAnsi="Arial"/>
          <w:color w:val="1A1A1A"/>
          <w:sz w:val="22"/>
          <w:szCs w:val="22"/>
        </w:rPr>
        <w:t xml:space="preserve">Open architecture for ecosystem growth — the platform's API-first design enables future integration with brokers, banks, and other fintech providers.</w:t>
      </w:r>
    </w:p>
    <w:p>
      <w:pPr>
        <w:pStyle w:val="ListParagraph"/>
        <w:numPr>
          <w:ilvl w:val="0"/>
          <w:numId w:val="2"/>
        </w:numPr>
        <w:spacing w:after="60" w:before="60"/>
      </w:pPr>
      <w:r>
        <w:rPr>
          <w:rFonts w:ascii="Arial" w:cs="Arial" w:eastAsia="Arial" w:hAnsi="Arial"/>
          <w:color w:val="1A1A1A"/>
          <w:sz w:val="22"/>
          <w:szCs w:val="22"/>
        </w:rPr>
        <w:t xml:space="preserve">Skills development — the development and operation of the platform builds local expertise in AI, data engineering, and financial technology.</w:t>
      </w:r>
    </w:p>
    <w:p>
      <w:pPr>
        <w:pStyle w:val="ListParagraph"/>
        <w:numPr>
          <w:ilvl w:val="0"/>
          <w:numId w:val="2"/>
        </w:numPr>
        <w:spacing w:after="60" w:before="60"/>
      </w:pPr>
      <w:r>
        <w:rPr>
          <w:rFonts w:ascii="Arial" w:cs="Arial" w:eastAsia="Arial" w:hAnsi="Arial"/>
          <w:color w:val="1A1A1A"/>
          <w:sz w:val="22"/>
          <w:szCs w:val="22"/>
        </w:rPr>
        <w:t xml:space="preserve">Regional precedent — a successful USE Insight creates a replicable model for other African securities exchanges facing similar retail participation challenges.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1"/>
              <w:left w:val="single" w:color="2E6DA4" w:sz="1"/>
              <w:bottom w:val="single" w:color="2E6DA4" w:sz="1"/>
              <w:right w:val="single" w:color="2E6DA4" w:sz="1"/>
            </w:tcBorders>
            <w:shd w:fill="1A3557" w:val="clear"/>
            <w:tcMar>
              <w:top w:type="dxa" w:w="120"/>
              <w:left w:type="dxa" w:w="200"/>
              <w:bottom w:type="dxa" w:w="80"/>
              <w:right w:type="dxa" w:w="200"/>
            </w:tcMar>
          </w:tcPr>
          <w:p>
            <w:r>
              <w:rPr>
                <w:rFonts w:ascii="Arial" w:cs="Arial" w:eastAsia="Arial" w:hAnsi="Arial"/>
                <w:b/>
                <w:bCs/>
                <w:color w:val="FFFFFF"/>
                <w:sz w:val="24"/>
                <w:szCs w:val="24"/>
              </w:rPr>
              <w:t xml:space="preserve">Key Impact Metrics (3-Year Targets)</w:t>
            </w:r>
          </w:p>
        </w:tc>
      </w:tr>
      <w:tr>
        <w:tc>
          <w:tcPr>
            <w:tcBorders>
              <w:top w:val="single" w:color="2E6DA4" w:sz="1"/>
              <w:left w:val="single" w:color="2E6DA4" w:sz="1"/>
              <w:bottom w:val="single" w:color="2E6DA4" w:sz="1"/>
              <w:right w:val="single" w:color="2E6DA4" w:sz="1"/>
            </w:tcBorders>
            <w:shd w:fill="D6E4F0" w:val="clear"/>
            <w:tcMar>
              <w:top w:type="dxa" w:w="120"/>
              <w:left w:type="dxa" w:w="200"/>
              <w:bottom w:type="dxa" w:w="120"/>
              <w:right w:type="dxa" w:w="200"/>
            </w:tcMar>
          </w:tcPr>
          <w:p>
            <w:pPr>
              <w:spacing w:after="80" w:before="80"/>
            </w:pPr>
            <w:r>
              <w:rPr>
                <w:rFonts w:ascii="Arial" w:cs="Arial" w:eastAsia="Arial" w:hAnsi="Arial"/>
                <w:color w:val="1A1A1A"/>
                <w:sz w:val="20"/>
                <w:szCs w:val="20"/>
              </w:rPr>
              <w:t xml:space="preserve">Registered Users: 100,000+ retail investor accounts</w:t>
            </w:r>
          </w:p>
          <w:p>
            <w:pPr>
              <w:spacing w:after="80" w:before="80"/>
            </w:pPr>
            <w:r>
              <w:rPr>
                <w:rFonts w:ascii="Arial" w:cs="Arial" w:eastAsia="Arial" w:hAnsi="Arial"/>
                <w:color w:val="1A1A1A"/>
                <w:sz w:val="20"/>
                <w:szCs w:val="20"/>
              </w:rPr>
              <w:t xml:space="preserve">Education Completions: 50,000+ module completions annually</w:t>
            </w:r>
          </w:p>
          <w:p>
            <w:pPr>
              <w:spacing w:after="80" w:before="80"/>
            </w:pPr>
            <w:r>
              <w:rPr>
                <w:rFonts w:ascii="Arial" w:cs="Arial" w:eastAsia="Arial" w:hAnsi="Arial"/>
                <w:color w:val="1A1A1A"/>
                <w:sz w:val="20"/>
                <w:szCs w:val="20"/>
              </w:rPr>
              <w:t xml:space="preserve">AI Interactions: 500,000+ investor queries processed</w:t>
            </w:r>
          </w:p>
          <w:p>
            <w:pPr>
              <w:spacing w:after="80" w:before="80"/>
            </w:pPr>
            <w:r>
              <w:rPr>
                <w:rFonts w:ascii="Arial" w:cs="Arial" w:eastAsia="Arial" w:hAnsi="Arial"/>
                <w:color w:val="1A1A1A"/>
                <w:sz w:val="20"/>
                <w:szCs w:val="20"/>
              </w:rPr>
              <w:t xml:space="preserve">Market Participation: 15% increase in USE retail account openings</w:t>
            </w:r>
          </w:p>
          <w:p>
            <w:pPr>
              <w:spacing w:after="80" w:before="80"/>
            </w:pPr>
            <w:r>
              <w:rPr>
                <w:rFonts w:ascii="Arial" w:cs="Arial" w:eastAsia="Arial" w:hAnsi="Arial"/>
                <w:color w:val="1A1A1A"/>
                <w:sz w:val="20"/>
                <w:szCs w:val="20"/>
              </w:rPr>
              <w:t xml:space="preserve">Youth Investors: 40% of new users aged 18–30</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7. SUSTAINABILITY FRAMEWORK</w:t>
      </w:r>
    </w:p>
    <w:p>
      <w:pPr>
        <w:pStyle w:val="Heading2"/>
        <w:spacing w:after="120" w:before="280"/>
      </w:pPr>
      <w:r>
        <w:rPr>
          <w:rFonts w:ascii="Arial" w:cs="Arial" w:eastAsia="Arial" w:hAnsi="Arial"/>
          <w:b/>
          <w:bCs/>
          <w:color w:val="2E6DA4"/>
          <w:sz w:val="28"/>
          <w:szCs w:val="28"/>
        </w:rPr>
        <w:t xml:space="preserve">7.1 Financial Sustainability</w:t>
      </w:r>
    </w:p>
    <w:p>
      <w:pPr>
        <w:spacing w:after="120" w:before="80"/>
        <w:jc w:val="left"/>
      </w:pPr>
      <w:r>
        <w:rPr>
          <w:rFonts w:ascii="Arial" w:cs="Arial" w:eastAsia="Arial" w:hAnsi="Arial"/>
          <w:color w:val="1A1A1A"/>
          <w:sz w:val="22"/>
          <w:szCs w:val="22"/>
        </w:rPr>
        <w:t xml:space="preserve">USE Insight is designed to achieve financial self-sufficiency through a diversified revenue model. The platform does not depend on a single revenue stream, reducing vulnerability to any single funding source: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Potential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Institutional Partnerships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Fee arrangements with USE, CMA, and listed companies for sponsored content, analytics, and data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 Analytics (B2C)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Premium subscription tier offering advanced analytics, detailed company reports, and AI-powered investment insights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Broker Integrations (B2B)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access fees for licensed brokers integrating USE Insight data into their platforms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Subscriptions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API access for fintech developers, researchers, and financial institutions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Programs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Alignment with financial inclusion and digital economy government initiatives for grant or co-funding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Fintech Collaborations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Revenue sharing with mobile money platforms, banks, and insurance companies for integrated financial services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Medium-High</w:t>
            </w:r>
          </w:p>
        </w:tc>
      </w:tr>
    </w:tbl>
    <w:p>
      <w:pPr>
        <w:spacing w:after="0" w:before="120"/>
      </w:pPr>
      <w:r>
        <w:t xml:space="preserve"/>
      </w:r>
    </w:p>
    <w:p>
      <w:pPr>
        <w:pStyle w:val="Heading2"/>
        <w:spacing w:after="120" w:before="280"/>
      </w:pPr>
      <w:r>
        <w:rPr>
          <w:rFonts w:ascii="Arial" w:cs="Arial" w:eastAsia="Arial" w:hAnsi="Arial"/>
          <w:b/>
          <w:bCs/>
          <w:color w:val="2E6DA4"/>
          <w:sz w:val="28"/>
          <w:szCs w:val="28"/>
        </w:rPr>
        <w:t xml:space="preserve">7.2 Operational Sustainability</w:t>
      </w:r>
    </w:p>
    <w:p>
      <w:pPr>
        <w:spacing w:after="120" w:before="80"/>
        <w:jc w:val="left"/>
      </w:pPr>
      <w:r>
        <w:rPr>
          <w:rFonts w:ascii="Arial" w:cs="Arial" w:eastAsia="Arial" w:hAnsi="Arial"/>
          <w:color w:val="1A1A1A"/>
          <w:sz w:val="22"/>
          <w:szCs w:val="22"/>
        </w:rPr>
        <w:t xml:space="preserve">The platform is designed to scale efficiently. Cloud-based infrastructure, containerised deployment via Docker, and API-first architecture ensure that operational costs grow proportionally with — rather than ahead of — user adoption. The use of open-source frameworks (FastAPI, PostgreSQL, React) minimises licensing costs while maintaining enterprise-grade performance.</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7.3 Institutional Sustainability</w:t>
      </w:r>
    </w:p>
    <w:p>
      <w:pPr>
        <w:spacing w:after="120" w:before="80"/>
        <w:jc w:val="left"/>
      </w:pPr>
      <w:r>
        <w:rPr>
          <w:rFonts w:ascii="Arial" w:cs="Arial" w:eastAsia="Arial" w:hAnsi="Arial"/>
          <w:color w:val="1A1A1A"/>
          <w:sz w:val="22"/>
          <w:szCs w:val="22"/>
        </w:rPr>
        <w:t xml:space="preserve">Long-term institutional sustainability is achieved through strategic alignment with key stakeholders:</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Uganda Securities Exchange — natural institutional home and potential co-owner of the platform's data and insights infrastructure.</w:t>
      </w:r>
    </w:p>
    <w:p>
      <w:pPr>
        <w:pStyle w:val="ListParagraph"/>
        <w:numPr>
          <w:ilvl w:val="0"/>
          <w:numId w:val="2"/>
        </w:numPr>
        <w:spacing w:after="60" w:before="60"/>
      </w:pPr>
      <w:r>
        <w:rPr>
          <w:rFonts w:ascii="Arial" w:cs="Arial" w:eastAsia="Arial" w:hAnsi="Arial"/>
          <w:color w:val="1A1A1A"/>
          <w:sz w:val="22"/>
          <w:szCs w:val="22"/>
        </w:rPr>
        <w:t xml:space="preserve">Capital Markets Authority (CMA) — regulatory alignment ensures platform longevity and compliance.</w:t>
      </w:r>
    </w:p>
    <w:p>
      <w:pPr>
        <w:pStyle w:val="ListParagraph"/>
        <w:numPr>
          <w:ilvl w:val="0"/>
          <w:numId w:val="2"/>
        </w:numPr>
        <w:spacing w:after="60" w:before="60"/>
      </w:pPr>
      <w:r>
        <w:rPr>
          <w:rFonts w:ascii="Arial" w:cs="Arial" w:eastAsia="Arial" w:hAnsi="Arial"/>
          <w:color w:val="1A1A1A"/>
          <w:sz w:val="22"/>
          <w:szCs w:val="22"/>
        </w:rPr>
        <w:t xml:space="preserve">Ministry of Finance — alignment with financial inclusion and NDP III digital economy objectives.</w:t>
      </w:r>
    </w:p>
    <w:p>
      <w:pPr>
        <w:pStyle w:val="ListParagraph"/>
        <w:numPr>
          <w:ilvl w:val="0"/>
          <w:numId w:val="2"/>
        </w:numPr>
        <w:spacing w:after="60" w:before="60"/>
      </w:pPr>
      <w:r>
        <w:rPr>
          <w:rFonts w:ascii="Arial" w:cs="Arial" w:eastAsia="Arial" w:hAnsi="Arial"/>
          <w:color w:val="1A1A1A"/>
          <w:sz w:val="22"/>
          <w:szCs w:val="22"/>
        </w:rPr>
        <w:t xml:space="preserve">Uganda Communications Commission — support for low-bandwidth and USSD access initiatives.</w:t>
      </w:r>
    </w:p>
    <w:p>
      <w:pPr>
        <w:pStyle w:val="ListParagraph"/>
        <w:numPr>
          <w:ilvl w:val="0"/>
          <w:numId w:val="2"/>
        </w:numPr>
        <w:spacing w:after="60" w:before="60"/>
      </w:pPr>
      <w:r>
        <w:rPr>
          <w:rFonts w:ascii="Arial" w:cs="Arial" w:eastAsia="Arial" w:hAnsi="Arial"/>
          <w:color w:val="1A1A1A"/>
          <w:sz w:val="22"/>
          <w:szCs w:val="22"/>
        </w:rPr>
        <w:t xml:space="preserve">University partnerships — integration into financial curricula creates sustainable user pipeline.</w:t>
      </w:r>
    </w:p>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8. FUTURE DEVELOPMENT ROADMAP</w:t>
      </w:r>
    </w:p>
    <w:p>
      <w:pPr>
        <w:pStyle w:val="Heading2"/>
        <w:spacing w:after="120" w:before="280"/>
      </w:pPr>
      <w:r>
        <w:rPr>
          <w:rFonts w:ascii="Arial" w:cs="Arial" w:eastAsia="Arial" w:hAnsi="Arial"/>
          <w:b/>
          <w:bCs/>
          <w:color w:val="2E6DA4"/>
          <w:sz w:val="28"/>
          <w:szCs w:val="28"/>
        </w:rPr>
        <w:t xml:space="preserve">8.1 Version 2.0 Enhancements</w:t>
      </w:r>
    </w:p>
    <w:p>
      <w:pPr>
        <w:spacing w:after="120" w:before="80"/>
        <w:jc w:val="left"/>
      </w:pPr>
      <w:r>
        <w:rPr>
          <w:rFonts w:ascii="Arial" w:cs="Arial" w:eastAsia="Arial" w:hAnsi="Arial"/>
          <w:color w:val="1A1A1A"/>
          <w:sz w:val="22"/>
          <w:szCs w:val="22"/>
        </w:rPr>
        <w:t xml:space="preserve">Following successful MVP launch and initial user validation, USE Insight v2.0 will introduce:</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Native mobile applications — dedicated Android and iOS applications for enhanced mobile experience.</w:t>
      </w:r>
    </w:p>
    <w:p>
      <w:pPr>
        <w:pStyle w:val="ListParagraph"/>
        <w:numPr>
          <w:ilvl w:val="0"/>
          <w:numId w:val="2"/>
        </w:numPr>
        <w:spacing w:after="60" w:before="60"/>
      </w:pPr>
      <w:r>
        <w:rPr>
          <w:rFonts w:ascii="Arial" w:cs="Arial" w:eastAsia="Arial" w:hAnsi="Arial"/>
          <w:color w:val="1A1A1A"/>
          <w:sz w:val="22"/>
          <w:szCs w:val="22"/>
        </w:rPr>
        <w:t xml:space="preserve">USSD access layer — feature phone integration to reach non-smartphone users across rural Uganda.</w:t>
      </w:r>
    </w:p>
    <w:p>
      <w:pPr>
        <w:pStyle w:val="ListParagraph"/>
        <w:numPr>
          <w:ilvl w:val="0"/>
          <w:numId w:val="2"/>
        </w:numPr>
        <w:spacing w:after="60" w:before="60"/>
      </w:pPr>
      <w:r>
        <w:rPr>
          <w:rFonts w:ascii="Arial" w:cs="Arial" w:eastAsia="Arial" w:hAnsi="Arial"/>
          <w:color w:val="1A1A1A"/>
          <w:sz w:val="22"/>
          <w:szCs w:val="22"/>
        </w:rPr>
        <w:t xml:space="preserve">Live broker integration — direct connection to licensed USE brokers enabling in-platform account opening and order placement enquiries.</w:t>
      </w:r>
    </w:p>
    <w:p>
      <w:pPr>
        <w:pStyle w:val="ListParagraph"/>
        <w:numPr>
          <w:ilvl w:val="0"/>
          <w:numId w:val="2"/>
        </w:numPr>
        <w:spacing w:after="60" w:before="60"/>
      </w:pPr>
      <w:r>
        <w:rPr>
          <w:rFonts w:ascii="Arial" w:cs="Arial" w:eastAsia="Arial" w:hAnsi="Arial"/>
          <w:color w:val="1A1A1A"/>
          <w:sz w:val="22"/>
          <w:szCs w:val="22"/>
        </w:rPr>
        <w:t xml:space="preserve">Sentiment analysis — AI-powered analysis of news, social media, and public discourse to generate market sentiment indicators.</w:t>
      </w:r>
    </w:p>
    <w:p>
      <w:pPr>
        <w:pStyle w:val="ListParagraph"/>
        <w:numPr>
          <w:ilvl w:val="0"/>
          <w:numId w:val="2"/>
        </w:numPr>
        <w:spacing w:after="60" w:before="60"/>
      </w:pPr>
      <w:r>
        <w:rPr>
          <w:rFonts w:ascii="Arial" w:cs="Arial" w:eastAsia="Arial" w:hAnsi="Arial"/>
          <w:color w:val="1A1A1A"/>
          <w:sz w:val="22"/>
          <w:szCs w:val="22"/>
        </w:rPr>
        <w:t xml:space="preserve">Multilingual support — Luganda and other local language interfaces to serve Uganda's linguistic diversity.</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8.2 Version 3.0 Vision</w:t>
      </w:r>
    </w:p>
    <w:p>
      <w:pPr>
        <w:spacing w:after="120" w:before="80"/>
        <w:jc w:val="left"/>
      </w:pPr>
      <w:r>
        <w:rPr>
          <w:rFonts w:ascii="Arial" w:cs="Arial" w:eastAsia="Arial" w:hAnsi="Arial"/>
          <w:color w:val="1A1A1A"/>
          <w:sz w:val="22"/>
          <w:szCs w:val="22"/>
        </w:rPr>
        <w:t xml:space="preserve">The long-term vision for USE Insight extends Uganda's borders and ambition:</w:t>
      </w:r>
    </w:p>
    <w:p>
      <w:pPr>
        <w:spacing w:after="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East African market integration — expansion to include NSE (Kenya), DSE (Tanzania), RSE (Rwanda), and other EAC securities exchanges.</w:t>
      </w:r>
    </w:p>
    <w:p>
      <w:pPr>
        <w:pStyle w:val="ListParagraph"/>
        <w:numPr>
          <w:ilvl w:val="0"/>
          <w:numId w:val="2"/>
        </w:numPr>
        <w:spacing w:after="60" w:before="60"/>
      </w:pPr>
      <w:r>
        <w:rPr>
          <w:rFonts w:ascii="Arial" w:cs="Arial" w:eastAsia="Arial" w:hAnsi="Arial"/>
          <w:color w:val="1A1A1A"/>
          <w:sz w:val="22"/>
          <w:szCs w:val="22"/>
        </w:rPr>
        <w:t xml:space="preserve">AI investment intelligence — personalised AI-generated investment insights and scenario modelling tools.</w:t>
      </w:r>
    </w:p>
    <w:p>
      <w:pPr>
        <w:pStyle w:val="ListParagraph"/>
        <w:numPr>
          <w:ilvl w:val="0"/>
          <w:numId w:val="2"/>
        </w:numPr>
        <w:spacing w:after="60" w:before="60"/>
      </w:pPr>
      <w:r>
        <w:rPr>
          <w:rFonts w:ascii="Arial" w:cs="Arial" w:eastAsia="Arial" w:hAnsi="Arial"/>
          <w:color w:val="1A1A1A"/>
          <w:sz w:val="22"/>
          <w:szCs w:val="22"/>
        </w:rPr>
        <w:t xml:space="preserve">Predictive analytics — machine learning models for trend prediction and market signal identification.</w:t>
      </w:r>
    </w:p>
    <w:p>
      <w:pPr>
        <w:pStyle w:val="ListParagraph"/>
        <w:numPr>
          <w:ilvl w:val="0"/>
          <w:numId w:val="2"/>
        </w:numPr>
        <w:spacing w:after="60" w:before="60"/>
      </w:pPr>
      <w:r>
        <w:rPr>
          <w:rFonts w:ascii="Arial" w:cs="Arial" w:eastAsia="Arial" w:hAnsi="Arial"/>
          <w:color w:val="1A1A1A"/>
          <w:sz w:val="22"/>
          <w:szCs w:val="22"/>
        </w:rPr>
        <w:t xml:space="preserve">Community features — investor forums, discussion boards, and peer learning communities.</w:t>
      </w:r>
    </w:p>
    <w:p>
      <w:pPr>
        <w:pStyle w:val="ListParagraph"/>
        <w:numPr>
          <w:ilvl w:val="0"/>
          <w:numId w:val="2"/>
        </w:numPr>
        <w:spacing w:after="60" w:before="60"/>
      </w:pPr>
      <w:r>
        <w:rPr>
          <w:rFonts w:ascii="Arial" w:cs="Arial" w:eastAsia="Arial" w:hAnsi="Arial"/>
          <w:color w:val="1A1A1A"/>
          <w:sz w:val="22"/>
          <w:szCs w:val="22"/>
        </w:rPr>
        <w:t xml:space="preserve">Regulatory technology (RegTech) — compliance tools for retail investors navigating CMA reporting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Horizon</w:t>
            </w:r>
          </w:p>
        </w:tc>
        <w:tc>
          <w:tcPr>
            <w:tcW w:type="dxa" w:w="351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510"/>
            <w:tcBorders>
              <w:top w:val="single" w:color="2E6DA4" w:sz="1"/>
              <w:left w:val="single" w:color="2E6DA4" w:sz="1"/>
              <w:bottom w:val="single" w:color="2E6DA4" w:sz="1"/>
              <w:right w:val="single" w:color="2E6DA4" w:sz="1"/>
            </w:tcBorders>
            <w:shd w:fill="1A3557" w:val="clear"/>
            <w:tcMar>
              <w:top w:type="dxa" w:w="100"/>
              <w:left w:type="dxa" w:w="120"/>
              <w:bottom w:type="dxa" w:w="100"/>
              <w:right w:type="dxa" w:w="120"/>
            </w:tcMar>
          </w:tcPr>
          <w:p>
            <w:r>
              <w:rPr>
                <w:rFonts w:ascii="Arial" w:cs="Arial" w:eastAsia="Arial" w:hAnsi="Arial"/>
                <w:b/>
                <w:bCs/>
                <w:color w:val="FFFFFF"/>
                <w:sz w:val="20"/>
                <w:szCs w:val="20"/>
              </w:rPr>
              <w:t xml:space="preserve">Key Milestones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0–6 Months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MVP Launch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platform live, first 10,000 users, AI assistant operational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6–18 Months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Growth &amp; Optimisation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 apps, broker integrations, 50,000 users, premium tier launch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18–36 Months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&amp; Expand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USSD access, regional integration, 100,000+ users, institutional partnerships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 Months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Regional Leadership</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East African market integration, AI investment intelligence, fintech ecosystem hub</w:t>
            </w:r>
          </w:p>
        </w:tc>
      </w:tr>
    </w:tbl>
    <w:p>
      <w:r>
        <w:br w:type="page"/>
      </w:r>
    </w:p>
    <w:p>
      <w:pPr>
        <w:pStyle w:val="Heading1"/>
        <w:pBdr>
          <w:bottom w:val="single" w:color="2E6DA4" w:sz="8" w:space="6"/>
        </w:pBdr>
        <w:spacing w:after="160" w:before="360"/>
      </w:pPr>
      <w:r>
        <w:rPr>
          <w:rFonts w:ascii="Arial" w:cs="Arial" w:eastAsia="Arial" w:hAnsi="Arial"/>
          <w:b/>
          <w:bCs/>
          <w:color w:val="1A3557"/>
          <w:sz w:val="36"/>
          <w:szCs w:val="36"/>
        </w:rPr>
        <w:t xml:space="preserve">9. CONCLUSION &amp; CALL TO ACTION</w:t>
      </w:r>
    </w:p>
    <w:p>
      <w:pPr>
        <w:pStyle w:val="Heading2"/>
        <w:spacing w:after="120" w:before="280"/>
      </w:pPr>
      <w:r>
        <w:rPr>
          <w:rFonts w:ascii="Arial" w:cs="Arial" w:eastAsia="Arial" w:hAnsi="Arial"/>
          <w:b/>
          <w:bCs/>
          <w:color w:val="2E6DA4"/>
          <w:sz w:val="28"/>
          <w:szCs w:val="28"/>
        </w:rPr>
        <w:t xml:space="preserve">9.1 Summary</w:t>
      </w:r>
    </w:p>
    <w:p>
      <w:pPr>
        <w:spacing w:after="120" w:before="80"/>
        <w:jc w:val="left"/>
      </w:pPr>
      <w:r>
        <w:rPr>
          <w:rFonts w:ascii="Arial" w:cs="Arial" w:eastAsia="Arial" w:hAnsi="Arial"/>
          <w:color w:val="1A1A1A"/>
          <w:sz w:val="22"/>
          <w:szCs w:val="22"/>
        </w:rPr>
        <w:t xml:space="preserve">USE Insight represents a rare convergence of technological readiness, policy alignment, and market need. Uganda's capital markets have the infrastructure. Its citizens have the devices. What has been missing is the intelligent bridge between the two.</w:t>
      </w:r>
    </w:p>
    <w:p>
      <w:pPr>
        <w:spacing w:after="0" w:before="120"/>
      </w:pPr>
      <w:r>
        <w:t xml:space="preserve"/>
      </w:r>
    </w:p>
    <w:p>
      <w:pPr>
        <w:spacing w:after="120" w:before="80"/>
        <w:jc w:val="left"/>
      </w:pPr>
      <w:r>
        <w:rPr>
          <w:rFonts w:ascii="Arial" w:cs="Arial" w:eastAsia="Arial" w:hAnsi="Arial"/>
          <w:color w:val="1A1A1A"/>
          <w:sz w:val="22"/>
          <w:szCs w:val="22"/>
        </w:rPr>
        <w:t xml:space="preserve">This platform proposes to build that bridge — thoughtfully, securely, and in service of every Ugandan who deserves a stake in their country's economic growth.</w:t>
      </w:r>
    </w:p>
    <w:p>
      <w:pPr>
        <w:spacing w:after="0" w:before="120"/>
      </w:pPr>
      <w:r>
        <w:t xml:space="preserve"/>
      </w:r>
    </w:p>
    <w:p>
      <w:pPr>
        <w:spacing w:after="120" w:before="80"/>
        <w:jc w:val="left"/>
      </w:pPr>
      <w:r>
        <w:rPr>
          <w:rFonts w:ascii="Arial" w:cs="Arial" w:eastAsia="Arial" w:hAnsi="Arial"/>
          <w:color w:val="1A1A1A"/>
          <w:sz w:val="22"/>
          <w:szCs w:val="22"/>
        </w:rPr>
        <w:t xml:space="preserve">By combining artificial intelligence, mobile-first design, financial education, and real-time market intelligence, USE Insight creates a new paradigm for retail investor engagement — one that is rooted in Uganda's context, responsive to Uganda's needs, and scalable across Uganda's future.</w:t>
      </w:r>
    </w:p>
    <w:p>
      <w:pPr>
        <w:spacing w:after="0" w:before="120"/>
      </w:pPr>
      <w:r>
        <w:t xml:space="preserve"/>
      </w:r>
    </w:p>
    <w:p>
      <w:pPr>
        <w:pBdr>
          <w:left w:val="single" w:color="2E6DA4" w:sz="20" w:space="8"/>
        </w:pBdr>
        <w:shd w:fill="D6E4F0" w:val="clear"/>
        <w:spacing w:after="160" w:before="160"/>
        <w:ind w:left="360" w:right="360"/>
      </w:pPr>
      <w:r>
        <w:rPr>
          <w:rFonts w:ascii="Arial" w:cs="Arial" w:eastAsia="Arial" w:hAnsi="Arial"/>
          <w:i/>
          <w:iCs/>
          <w:color w:val="1A3557"/>
          <w:sz w:val="22"/>
          <w:szCs w:val="22"/>
        </w:rPr>
        <w:t xml:space="preserve">USE Insight is not simply a technology project. It is a financial inclusion initiative, a youth empowerment strategy, and a demonstration of Uganda's capacity to build world-class fintech solutions domestically.</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9.2 Government Support Requested</w:t>
      </w:r>
    </w:p>
    <w:p>
      <w:pPr>
        <w:spacing w:after="120" w:before="80"/>
        <w:jc w:val="left"/>
      </w:pPr>
      <w:r>
        <w:rPr>
          <w:rFonts w:ascii="Arial" w:cs="Arial" w:eastAsia="Arial" w:hAnsi="Arial"/>
          <w:color w:val="1A1A1A"/>
          <w:sz w:val="22"/>
          <w:szCs w:val="22"/>
        </w:rPr>
        <w:t xml:space="preserve">To realise the full potential of USE Insight, the development team respectfully requests the following from Government of Uganda stakeholders:</w:t>
      </w:r>
    </w:p>
    <w:p>
      <w:pPr>
        <w:spacing w:after="0" w:before="120"/>
      </w:pPr>
      <w:r>
        <w:t xml:space="preserve"/>
      </w:r>
    </w:p>
    <w:p>
      <w:pPr>
        <w:pStyle w:val="ListParagraph"/>
        <w:numPr>
          <w:ilvl w:val="0"/>
          <w:numId w:val="3"/>
        </w:numPr>
        <w:spacing w:after="60" w:before="60"/>
      </w:pPr>
      <w:r>
        <w:rPr>
          <w:rFonts w:ascii="Arial" w:cs="Arial" w:eastAsia="Arial" w:hAnsi="Arial"/>
          <w:color w:val="1A1A1A"/>
          <w:sz w:val="22"/>
          <w:szCs w:val="22"/>
        </w:rPr>
        <w:t xml:space="preserve">Policy Endorsement — formal recognition of USE Insight as a strategic financial inclusion and digital economy initiative aligned with NDP III objectives.</w:t>
      </w:r>
    </w:p>
    <w:p>
      <w:pPr>
        <w:pStyle w:val="ListParagraph"/>
        <w:numPr>
          <w:ilvl w:val="0"/>
          <w:numId w:val="3"/>
        </w:numPr>
        <w:spacing w:after="60" w:before="60"/>
      </w:pPr>
      <w:r>
        <w:rPr>
          <w:rFonts w:ascii="Arial" w:cs="Arial" w:eastAsia="Arial" w:hAnsi="Arial"/>
          <w:color w:val="1A1A1A"/>
          <w:sz w:val="22"/>
          <w:szCs w:val="22"/>
        </w:rPr>
        <w:t xml:space="preserve">Regulatory Facilitation — support from the Capital Markets Authority in navigating regulatory requirements and ensuring compliance with securities laws.</w:t>
      </w:r>
    </w:p>
    <w:p>
      <w:pPr>
        <w:pStyle w:val="ListParagraph"/>
        <w:numPr>
          <w:ilvl w:val="0"/>
          <w:numId w:val="3"/>
        </w:numPr>
        <w:spacing w:after="60" w:before="60"/>
      </w:pPr>
      <w:r>
        <w:rPr>
          <w:rFonts w:ascii="Arial" w:cs="Arial" w:eastAsia="Arial" w:hAnsi="Arial"/>
          <w:color w:val="1A1A1A"/>
          <w:sz w:val="22"/>
          <w:szCs w:val="22"/>
        </w:rPr>
        <w:t xml:space="preserve">Institutional Partnership — a formal memorandum of understanding with the Uganda Securities Exchange to access market data and collaborate on investor education content.</w:t>
      </w:r>
    </w:p>
    <w:p>
      <w:pPr>
        <w:pStyle w:val="ListParagraph"/>
        <w:numPr>
          <w:ilvl w:val="0"/>
          <w:numId w:val="3"/>
        </w:numPr>
        <w:spacing w:after="60" w:before="60"/>
      </w:pPr>
      <w:r>
        <w:rPr>
          <w:rFonts w:ascii="Arial" w:cs="Arial" w:eastAsia="Arial" w:hAnsi="Arial"/>
          <w:color w:val="1A1A1A"/>
          <w:sz w:val="22"/>
          <w:szCs w:val="22"/>
        </w:rPr>
        <w:t xml:space="preserve">Seed Funding Consideration — consideration for grant funding or concessional financing through government innovation programs or development finance partners.</w:t>
      </w:r>
    </w:p>
    <w:p>
      <w:pPr>
        <w:pStyle w:val="ListParagraph"/>
        <w:numPr>
          <w:ilvl w:val="0"/>
          <w:numId w:val="3"/>
        </w:numPr>
        <w:spacing w:after="60" w:before="60"/>
      </w:pPr>
      <w:r>
        <w:rPr>
          <w:rFonts w:ascii="Arial" w:cs="Arial" w:eastAsia="Arial" w:hAnsi="Arial"/>
          <w:color w:val="1A1A1A"/>
          <w:sz w:val="22"/>
          <w:szCs w:val="22"/>
        </w:rPr>
        <w:t xml:space="preserve">Public Promotion — support in promoting the platform through government financial literacy campaigns and communication channels.</w:t>
      </w:r>
    </w:p>
    <w:p>
      <w:pPr>
        <w:spacing w:after="0" w:before="120"/>
      </w:pPr>
      <w:r>
        <w:t xml:space="preserve"/>
      </w:r>
    </w:p>
    <w:p>
      <w:pPr>
        <w:pStyle w:val="Heading2"/>
        <w:spacing w:after="120" w:before="280"/>
      </w:pPr>
      <w:r>
        <w:rPr>
          <w:rFonts w:ascii="Arial" w:cs="Arial" w:eastAsia="Arial" w:hAnsi="Arial"/>
          <w:b/>
          <w:bCs/>
          <w:color w:val="2E6DA4"/>
          <w:sz w:val="28"/>
          <w:szCs w:val="28"/>
        </w:rPr>
        <w:t xml:space="preserve">9.3 Closing Statement</w:t>
      </w:r>
    </w:p>
    <w:p>
      <w:pPr>
        <w:spacing w:after="120" w:before="80"/>
        <w:jc w:val="left"/>
      </w:pPr>
      <w:r>
        <w:rPr>
          <w:rFonts w:ascii="Arial" w:cs="Arial" w:eastAsia="Arial" w:hAnsi="Arial"/>
          <w:color w:val="1A1A1A"/>
          <w:sz w:val="22"/>
          <w:szCs w:val="22"/>
        </w:rPr>
        <w:t xml:space="preserve">The Government of Uganda has consistently demonstrated its commitment to digital transformation, financial inclusion, and youth empowerment. USE Insight aligns with each of these priorities — and goes further by delivering a practical, measurable, and scalable mechanism through which they intersect.</w:t>
      </w:r>
    </w:p>
    <w:p>
      <w:pPr>
        <w:spacing w:after="0" w:before="120"/>
      </w:pPr>
      <w:r>
        <w:t xml:space="preserve"/>
      </w:r>
    </w:p>
    <w:p>
      <w:pPr>
        <w:spacing w:after="120" w:before="80"/>
        <w:jc w:val="left"/>
      </w:pPr>
      <w:r>
        <w:rPr>
          <w:rFonts w:ascii="Arial" w:cs="Arial" w:eastAsia="Arial" w:hAnsi="Arial"/>
          <w:color w:val="1A1A1A"/>
          <w:sz w:val="22"/>
          <w:szCs w:val="22"/>
        </w:rPr>
        <w:t xml:space="preserve">We invite the Government, the Uganda Securities Exchange, and all relevant stakeholders to partner in building a capital market that works for every Ugandan — not just the few who already know how to navigate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60C" w:sz="1"/>
              <w:left w:val="single" w:color="C8960C" w:sz="1"/>
              <w:bottom w:val="single" w:color="C8960C" w:sz="1"/>
              <w:right w:val="single" w:color="C8960C" w:sz="1"/>
            </w:tcBorders>
            <w:shd w:fill="FFF8E7" w:val="clear"/>
            <w:tcMar>
              <w:top w:type="dxa" w:w="200"/>
              <w:left w:type="dxa" w:w="300"/>
              <w:bottom w:type="dxa" w:w="200"/>
              <w:right w:type="dxa" w:w="300"/>
            </w:tcMar>
          </w:tcPr>
          <w:p>
            <w:pPr>
              <w:spacing w:after="80" w:before="80"/>
              <w:jc w:val="center"/>
            </w:pPr>
            <w:r>
              <w:rPr>
                <w:rFonts w:ascii="Arial" w:cs="Arial" w:eastAsia="Arial" w:hAnsi="Arial"/>
                <w:b/>
                <w:bCs/>
                <w:i/>
                <w:iCs/>
                <w:color w:val="1A3557"/>
                <w:sz w:val="28"/>
                <w:szCs w:val="28"/>
              </w:rPr>
              <w:t xml:space="preserve">"Democratizing Access to Uganda's Capital Markets</w:t>
            </w:r>
          </w:p>
          <w:p>
            <w:pPr>
              <w:spacing w:after="80" w:before="80"/>
              <w:jc w:val="center"/>
            </w:pPr>
            <w:r>
              <w:rPr>
                <w:rFonts w:ascii="Arial" w:cs="Arial" w:eastAsia="Arial" w:hAnsi="Arial"/>
                <w:b/>
                <w:bCs/>
                <w:i/>
                <w:iCs/>
                <w:color w:val="1A3557"/>
                <w:sz w:val="28"/>
                <w:szCs w:val="28"/>
              </w:rPr>
              <w:t xml:space="preserve">Through Intelligent Financial Technology"</w:t>
            </w:r>
          </w:p>
          <w:p>
            <w:pPr>
              <w:spacing w:after="0" w:before="120"/>
              <w:jc w:val="center"/>
            </w:pPr>
            <w:r>
              <w:rPr>
                <w:rFonts w:ascii="Arial" w:cs="Arial" w:eastAsia="Arial" w:hAnsi="Arial"/>
                <w:color w:val="888888"/>
                <w:sz w:val="20"/>
                <w:szCs w:val="20"/>
              </w:rPr>
              <w:t xml:space="preserve">— USE Insight, 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026"/>
      </w:tabs>
    </w:pPr>
    <w:r>
      <w:rPr>
        <w:rFonts w:ascii="Arial" w:cs="Arial" w:eastAsia="Arial" w:hAnsi="Arial"/>
        <w:color w:val="888888"/>
        <w:sz w:val="16"/>
        <w:szCs w:val="16"/>
      </w:rPr>
      <w:t xml:space="preserve">	Confidential — Government of Uganda,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b/>
        <w:bCs/>
        <w:color w:val="1A3557"/>
        <w:sz w:val="18"/>
        <w:szCs w:val="18"/>
      </w:rPr>
      <w:t xml:space="preserve">USE INSIGHT</w:t>
    </w:r>
    <w:r>
      <w:rPr>
        <w:rFonts w:ascii="Arial" w:cs="Arial" w:eastAsia="Arial" w:hAnsi="Arial"/>
        <w:color w:val="888888"/>
        <w:sz w:val="18"/>
        <w:szCs w:val="18"/>
      </w:rPr>
      <w:t xml:space="preserve">  |  Intelligent Retail Investor &amp; Market Access Platform for Uganda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2026-05-22T19:23:21.895Z</dcterms:created>
  <dcterms:modified xsi:type="dcterms:W3CDTF">2026-05-22T19:23:21.895Z</dcterms:modified>
</cp:coreProperties>
</file>

<file path=docProps/custom.xml><?xml version="1.0" encoding="utf-8"?>
<Properties xmlns="http://schemas.openxmlformats.org/officeDocument/2006/custom-properties" xmlns:vt="http://schemas.openxmlformats.org/officeDocument/2006/docPropsVTypes"/>
</file>