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360" w:after="0"/>
        <w:rPr/>
      </w:pPr>
      <w:r>
        <w:rPr/>
      </w:r>
    </w:p>
    <w:p>
      <w:pPr>
        <w:pStyle w:val="normal1"/>
        <w:spacing w:lineRule="auto" w:line="240" w:before="0" w:after="40"/>
        <w:jc w:val="center"/>
        <w:rPr/>
      </w:pPr>
      <w:r>
        <w:rPr>
          <w:rFonts w:eastAsia="Arial" w:cs="Arial"/>
          <w:b/>
          <w:bCs/>
          <w:color w:val="2E6DA4"/>
          <w:sz w:val="24"/>
          <w:szCs w:val="24"/>
        </w:rPr>
        <w:t>REPUBLIC OF UGANDA</w:t>
      </w:r>
    </w:p>
    <w:p>
      <w:pPr>
        <w:pStyle w:val="normal1"/>
        <w:spacing w:lineRule="auto" w:line="240" w:before="0" w:after="240"/>
        <w:jc w:val="center"/>
        <w:rPr/>
      </w:pPr>
      <w:r>
        <w:rPr>
          <w:rFonts w:eastAsia="Arial" w:cs="Arial"/>
          <w:color w:val="666666"/>
          <w:sz w:val="20"/>
          <w:szCs w:val="20"/>
        </w:rPr>
        <w:t>Ministry of Finance, Planning and Economic Development</w:t>
      </w:r>
    </w:p>
    <w:p>
      <w:pPr>
        <w:pStyle w:val="normal1"/>
        <w:pBdr>
          <w:top w:val="single" w:sz="12" w:space="0" w:color="C8960C"/>
        </w:pBdr>
        <w:spacing w:lineRule="auto" w:line="240" w:before="0" w:after="80"/>
        <w:jc w:val="center"/>
        <w:rPr/>
      </w:pPr>
      <w:r>
        <w:rPr/>
      </w:r>
    </w:p>
    <w:p>
      <w:pPr>
        <w:pStyle w:val="normal1"/>
        <w:spacing w:lineRule="auto" w:line="240" w:before="120" w:after="0"/>
        <w:rPr/>
      </w:pPr>
      <w:r>
        <w:rPr/>
      </w:r>
    </w:p>
    <w:p>
      <w:pPr>
        <w:pStyle w:val="normal1"/>
        <w:spacing w:lineRule="auto" w:line="240" w:before="0" w:after="80"/>
        <w:jc w:val="center"/>
        <w:rPr/>
      </w:pPr>
      <w:r>
        <w:rPr>
          <w:b/>
          <w:bCs/>
          <w:color w:val="1A3557"/>
          <w:sz w:val="72"/>
          <w:szCs w:val="72"/>
        </w:rPr>
        <w:t>Ve</w:t>
      </w:r>
      <w:r>
        <w:rPr>
          <w:b/>
          <w:bCs/>
          <w:color w:val="1A3557"/>
          <w:sz w:val="72"/>
          <w:szCs w:val="72"/>
        </w:rPr>
        <w:t>s</w:t>
      </w:r>
      <w:r>
        <w:rPr>
          <w:b/>
          <w:bCs/>
          <w:color w:val="1A3557"/>
          <w:sz w:val="72"/>
          <w:szCs w:val="72"/>
        </w:rPr>
        <w:t>tora 📈</w:t>
      </w:r>
    </w:p>
    <w:p>
      <w:pPr>
        <w:pStyle w:val="normal1"/>
        <w:spacing w:lineRule="auto" w:line="240" w:before="0" w:after="200"/>
        <w:jc w:val="center"/>
        <w:rPr/>
      </w:pPr>
      <w:r>
        <w:rPr>
          <w:rFonts w:eastAsia="Arial" w:cs="Arial"/>
          <w:b/>
          <w:bCs/>
          <w:color w:val="2E6DA4"/>
          <w:sz w:val="36"/>
          <w:szCs w:val="36"/>
        </w:rPr>
        <w:t>Intelligent Retail Investor &amp; Market Access Platform</w:t>
      </w:r>
    </w:p>
    <w:p>
      <w:pPr>
        <w:pStyle w:val="normal1"/>
        <w:pBdr>
          <w:bottom w:val="single" w:sz="12" w:space="0" w:color="C8960C"/>
        </w:pBdr>
        <w:spacing w:lineRule="auto" w:line="240" w:before="0" w:after="80"/>
        <w:jc w:val="center"/>
        <w:rPr/>
      </w:pPr>
      <w:r>
        <w:rPr/>
      </w:r>
    </w:p>
    <w:p>
      <w:pPr>
        <w:pStyle w:val="normal1"/>
        <w:spacing w:lineRule="auto" w:line="240" w:before="240" w:after="0"/>
        <w:rPr/>
      </w:pPr>
      <w:r>
        <w:rPr/>
      </w:r>
    </w:p>
    <w:p>
      <w:pPr>
        <w:pStyle w:val="normal1"/>
        <w:spacing w:lineRule="auto" w:line="240" w:before="0" w:after="80"/>
        <w:jc w:val="center"/>
        <w:rPr/>
      </w:pPr>
      <w:r>
        <w:rPr>
          <w:rFonts w:eastAsia="Arial" w:cs="Arial"/>
          <w:i/>
          <w:iCs/>
          <w:color w:val="1A3557"/>
          <w:sz w:val="26"/>
          <w:szCs w:val="26"/>
        </w:rPr>
        <w:t>"Democratizing Access to Uganda's Capital Markets</w:t>
      </w:r>
    </w:p>
    <w:p>
      <w:pPr>
        <w:pStyle w:val="normal1"/>
        <w:spacing w:lineRule="auto" w:line="240" w:before="0" w:after="300"/>
        <w:jc w:val="center"/>
        <w:rPr/>
      </w:pPr>
      <w:r>
        <w:rPr>
          <w:rFonts w:eastAsia="Arial" w:cs="Arial"/>
          <w:i/>
          <w:iCs/>
          <w:color w:val="1A3557"/>
          <w:sz w:val="26"/>
          <w:szCs w:val="26"/>
        </w:rPr>
        <w:t>Through Intelligent Financial Technology"</w:t>
      </w:r>
    </w:p>
    <w:p>
      <w:pPr>
        <w:pStyle w:val="normal1"/>
        <w:spacing w:lineRule="auto" w:line="240" w:before="240" w:after="0"/>
        <w:rPr/>
      </w:pPr>
      <w:r>
        <w:rPr/>
      </w:r>
    </w:p>
    <w:tbl>
      <w:tblPr>
        <w:tblStyle w:val="Table1"/>
        <w:tblW w:w="9360" w:type="dxa"/>
        <w:jc w:val="left"/>
        <w:tblInd w:w="0" w:type="dxa"/>
        <w:tblLayout w:type="fixed"/>
        <w:tblCellMar>
          <w:top w:w="120" w:type="dxa"/>
          <w:left w:w="200" w:type="dxa"/>
          <w:bottom w:w="120" w:type="dxa"/>
          <w:right w:w="200" w:type="dxa"/>
        </w:tblCellMar>
        <w:tblLook w:val="0000"/>
      </w:tblPr>
      <w:tblGrid>
        <w:gridCol w:w="4680"/>
        <w:gridCol w:w="4679"/>
      </w:tblGrid>
      <w:tr>
        <w:trPr/>
        <w:tc>
          <w:tcPr>
            <w:tcW w:w="4680" w:type="dxa"/>
            <w:tcBorders/>
            <w:shd w:fill="D6E4F0" w:val="clear"/>
          </w:tcPr>
          <w:p>
            <w:pPr>
              <w:pStyle w:val="normal1"/>
              <w:jc w:val="center"/>
              <w:rPr/>
            </w:pPr>
            <w:r>
              <w:rPr>
                <w:rFonts w:eastAsia="Arial" w:cs="Arial"/>
                <w:b/>
                <w:bCs/>
                <w:color w:val="1A3557"/>
                <w:sz w:val="20"/>
                <w:szCs w:val="20"/>
              </w:rPr>
              <w:t>Submitted To</w:t>
            </w:r>
          </w:p>
          <w:p>
            <w:pPr>
              <w:pStyle w:val="normal1"/>
              <w:jc w:val="center"/>
              <w:rPr/>
            </w:pPr>
            <w:r>
              <w:rPr>
                <w:rFonts w:eastAsia="Arial" w:cs="Arial"/>
                <w:color w:val="1A1A1A"/>
                <w:sz w:val="20"/>
                <w:szCs w:val="20"/>
              </w:rPr>
              <w:t>Uganda Securities Exchange</w:t>
            </w:r>
          </w:p>
          <w:p>
            <w:pPr>
              <w:pStyle w:val="normal1"/>
              <w:jc w:val="center"/>
              <w:rPr/>
            </w:pPr>
            <w:r>
              <w:rPr>
                <w:rFonts w:eastAsia="Arial" w:cs="Arial"/>
                <w:color w:val="1A1A1A"/>
                <w:sz w:val="20"/>
                <w:szCs w:val="20"/>
              </w:rPr>
              <w:t>&amp; Ministry of Finance</w:t>
            </w:r>
          </w:p>
        </w:tc>
        <w:tc>
          <w:tcPr>
            <w:tcW w:w="4679" w:type="dxa"/>
            <w:tcBorders/>
            <w:shd w:fill="D6E4F0" w:val="clear"/>
          </w:tcPr>
          <w:p>
            <w:pPr>
              <w:pStyle w:val="normal1"/>
              <w:jc w:val="center"/>
              <w:rPr/>
            </w:pPr>
            <w:r>
              <w:rPr>
                <w:rFonts w:eastAsia="Arial" w:cs="Arial"/>
                <w:b/>
                <w:bCs/>
                <w:color w:val="1A3557"/>
                <w:sz w:val="20"/>
                <w:szCs w:val="20"/>
              </w:rPr>
              <w:t>Date</w:t>
            </w:r>
          </w:p>
          <w:p>
            <w:pPr>
              <w:pStyle w:val="normal1"/>
              <w:jc w:val="center"/>
              <w:rPr/>
            </w:pPr>
            <w:r>
              <w:rPr>
                <w:rFonts w:eastAsia="Arial" w:cs="Arial"/>
                <w:color w:val="1A1A1A"/>
                <w:sz w:val="20"/>
                <w:szCs w:val="20"/>
              </w:rPr>
              <w:t>May 2026</w:t>
            </w:r>
          </w:p>
          <w:p>
            <w:pPr>
              <w:pStyle w:val="normal1"/>
              <w:jc w:val="center"/>
              <w:rPr/>
            </w:pPr>
            <w:r>
              <w:rPr>
                <w:rFonts w:eastAsia="Arial" w:cs="Arial"/>
                <w:color w:val="1A1A1A"/>
                <w:sz w:val="20"/>
                <w:szCs w:val="20"/>
              </w:rPr>
              <w:t>Kampala, Uganda</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EXECUTIVE SUMMARY</w:t>
      </w:r>
    </w:p>
    <w:p>
      <w:pPr>
        <w:pStyle w:val="normal1"/>
        <w:spacing w:lineRule="auto" w:line="240" w:before="80" w:after="120"/>
        <w:jc w:val="left"/>
        <w:rPr/>
      </w:pPr>
      <w:r>
        <w:rPr>
          <w:rFonts w:eastAsia="Arial" w:cs="Arial"/>
          <w:color w:val="1A1A1A"/>
          <w:sz w:val="22"/>
          <w:szCs w:val="22"/>
        </w:rPr>
        <w:t>Uganda's capital markets represent a significant and underutilised engine for national economic growth. Despite the Uganda Securities Exchange (USE) recording progressive milestones in digitising securities trading infrastructure, retail investor participation remains critically low — a problem rooted not in the absence of platforms, but in the absence of the right kind of platform.</w:t>
      </w:r>
    </w:p>
    <w:p>
      <w:pPr>
        <w:pStyle w:val="normal1"/>
        <w:spacing w:lineRule="auto" w:line="240" w:before="120" w:after="0"/>
        <w:rPr/>
      </w:pPr>
      <w:r>
        <w:rPr/>
      </w:r>
    </w:p>
    <w:p>
      <w:pPr>
        <w:pStyle w:val="normal1"/>
        <w:spacing w:lineRule="auto" w:line="240" w:before="80" w:after="120"/>
        <w:jc w:val="left"/>
        <w:rPr/>
      </w:pPr>
      <w:r>
        <w:rPr>
          <w:color w:val="1A1A1A"/>
        </w:rPr>
        <w:t>Vestora</w:t>
      </w:r>
      <w:r>
        <w:rPr>
          <w:rFonts w:eastAsia="Arial" w:cs="Arial"/>
          <w:color w:val="1A1A1A"/>
          <w:sz w:val="22"/>
          <w:szCs w:val="22"/>
        </w:rPr>
        <w:t xml:space="preserve"> is proposed as a transformative, AI-powered financial technology platform specifically designed to bridge the gap between Uganda's capital market infrastructure and the ordinary citizen. It is a mobile-first, data-intelligent, and education-centered digital platform that reimagines how Ugandans discover, understand, and participate in investment opportunities.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i/>
          <w:iCs/>
          <w:color w:val="1A3557"/>
        </w:rPr>
        <w:t>Vestora</w:t>
      </w:r>
      <w:r>
        <w:rPr>
          <w:rFonts w:eastAsia="Arial" w:cs="Arial"/>
          <w:i/>
          <w:iCs/>
          <w:color w:val="1A3557"/>
          <w:sz w:val="22"/>
          <w:szCs w:val="22"/>
        </w:rPr>
        <w:t xml:space="preserve"> is not a trading platform. It is an investor intelligence ecosystem — built to inform, educate, alert, and empower a new generation of Ugandan retail investors.</w:t>
      </w:r>
    </w:p>
    <w:p>
      <w:pPr>
        <w:pStyle w:val="normal1"/>
        <w:spacing w:lineRule="auto" w:line="240" w:before="120" w:after="0"/>
        <w:rPr/>
      </w:pPr>
      <w:r>
        <w:rPr/>
      </w:r>
    </w:p>
    <w:tbl>
      <w:tblPr>
        <w:tblStyle w:val="Table2"/>
        <w:tblW w:w="9360" w:type="dxa"/>
        <w:jc w:val="left"/>
        <w:tblInd w:w="0" w:type="dxa"/>
        <w:tblLayout w:type="fixed"/>
        <w:tblCellMar>
          <w:top w:w="120" w:type="dxa"/>
          <w:left w:w="160" w:type="dxa"/>
          <w:bottom w:w="120" w:type="dxa"/>
          <w:right w:w="160" w:type="dxa"/>
        </w:tblCellMar>
        <w:tblLook w:val="0000"/>
      </w:tblPr>
      <w:tblGrid>
        <w:gridCol w:w="3120"/>
        <w:gridCol w:w="3120"/>
        <w:gridCol w:w="3120"/>
      </w:tblGrid>
      <w:tr>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Challenge</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Solution</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Outcome</w:t>
            </w:r>
          </w:p>
        </w:tc>
      </w:tr>
      <w:tr>
        <w:trPr/>
        <w:tc>
          <w:tcPr>
            <w:tcW w:w="3120" w:type="dxa"/>
            <w:tcBorders>
              <w:top w:val="single" w:sz="4" w:space="0" w:color="CCCCCC"/>
              <w:left w:val="single" w:sz="4" w:space="0" w:color="CCCCCC"/>
              <w:bottom w:val="single" w:sz="4" w:space="0" w:color="CCCCCC"/>
              <w:right w:val="single" w:sz="4" w:space="0" w:color="CCCCCC"/>
            </w:tcBorders>
            <w:shd w:fill="D6E4F0" w:val="clear"/>
          </w:tcPr>
          <w:p>
            <w:pPr>
              <w:pStyle w:val="normal1"/>
              <w:spacing w:lineRule="auto" w:line="240" w:before="60" w:after="60"/>
              <w:rPr/>
            </w:pPr>
            <w:r>
              <w:rPr>
                <w:rFonts w:eastAsia="Arial" w:cs="Arial"/>
                <w:color w:val="1A1A1A"/>
                <w:sz w:val="20"/>
                <w:szCs w:val="20"/>
              </w:rPr>
              <w:t>Low retail investor participation</w:t>
            </w:r>
          </w:p>
          <w:p>
            <w:pPr>
              <w:pStyle w:val="normal1"/>
              <w:spacing w:lineRule="auto" w:line="240" w:before="60" w:after="60"/>
              <w:rPr/>
            </w:pPr>
            <w:r>
              <w:rPr>
                <w:rFonts w:eastAsia="Arial" w:cs="Arial"/>
                <w:color w:val="1A1A1A"/>
                <w:sz w:val="20"/>
                <w:szCs w:val="20"/>
              </w:rPr>
              <w:t>Fragmented market information</w:t>
            </w:r>
          </w:p>
          <w:p>
            <w:pPr>
              <w:pStyle w:val="normal1"/>
              <w:spacing w:lineRule="auto" w:line="240" w:before="60" w:after="60"/>
              <w:rPr/>
            </w:pPr>
            <w:r>
              <w:rPr>
                <w:rFonts w:eastAsia="Arial" w:cs="Arial"/>
                <w:color w:val="1A1A1A"/>
                <w:sz w:val="20"/>
                <w:szCs w:val="20"/>
              </w:rPr>
              <w:t>Limited financial literacy</w:t>
            </w:r>
          </w:p>
          <w:p>
            <w:pPr>
              <w:pStyle w:val="normal1"/>
              <w:spacing w:lineRule="auto" w:line="240" w:before="60" w:after="60"/>
              <w:rPr/>
            </w:pPr>
            <w:r>
              <w:rPr>
                <w:rFonts w:eastAsia="Arial" w:cs="Arial"/>
                <w:color w:val="1A1A1A"/>
                <w:sz w:val="20"/>
                <w:szCs w:val="20"/>
              </w:rPr>
              <w:t>No mobile-first investor tools</w:t>
            </w:r>
          </w:p>
        </w:tc>
        <w:tc>
          <w:tcPr>
            <w:tcW w:w="3120" w:type="dxa"/>
            <w:tcBorders>
              <w:top w:val="single" w:sz="4" w:space="0" w:color="CCCCCC"/>
              <w:left w:val="single" w:sz="4" w:space="0" w:color="CCCCCC"/>
              <w:bottom w:val="single" w:sz="4" w:space="0" w:color="CCCCCC"/>
              <w:right w:val="single" w:sz="4" w:space="0" w:color="CCCCCC"/>
            </w:tcBorders>
            <w:shd w:fill="F5F5F5" w:val="clear"/>
          </w:tcPr>
          <w:p>
            <w:pPr>
              <w:pStyle w:val="normal1"/>
              <w:spacing w:lineRule="auto" w:line="240" w:before="60" w:after="60"/>
              <w:rPr/>
            </w:pPr>
            <w:r>
              <w:rPr>
                <w:rFonts w:eastAsia="Arial" w:cs="Arial"/>
                <w:color w:val="1A1A1A"/>
                <w:sz w:val="20"/>
                <w:szCs w:val="20"/>
              </w:rPr>
              <w:t>Real-time market dashboards</w:t>
            </w:r>
          </w:p>
          <w:p>
            <w:pPr>
              <w:pStyle w:val="normal1"/>
              <w:spacing w:lineRule="auto" w:line="240" w:before="60" w:after="60"/>
              <w:rPr/>
            </w:pPr>
            <w:r>
              <w:rPr>
                <w:rFonts w:eastAsia="Arial" w:cs="Arial"/>
                <w:color w:val="1A1A1A"/>
                <w:sz w:val="20"/>
                <w:szCs w:val="20"/>
              </w:rPr>
              <w:t>AI-powered investor explanations</w:t>
            </w:r>
          </w:p>
          <w:p>
            <w:pPr>
              <w:pStyle w:val="normal1"/>
              <w:spacing w:lineRule="auto" w:line="240" w:before="60" w:after="60"/>
              <w:rPr/>
            </w:pPr>
            <w:r>
              <w:rPr>
                <w:rFonts w:eastAsia="Arial" w:cs="Arial"/>
                <w:color w:val="1A1A1A"/>
                <w:sz w:val="20"/>
                <w:szCs w:val="20"/>
              </w:rPr>
              <w:t>Interactive education hub</w:t>
            </w:r>
          </w:p>
          <w:p>
            <w:pPr>
              <w:pStyle w:val="normal1"/>
              <w:spacing w:lineRule="auto" w:line="240" w:before="60" w:after="60"/>
              <w:rPr/>
            </w:pPr>
            <w:r>
              <w:rPr>
                <w:rFonts w:eastAsia="Arial" w:cs="Arial"/>
                <w:color w:val="1A1A1A"/>
                <w:sz w:val="20"/>
                <w:szCs w:val="20"/>
              </w:rPr>
              <w:t>Portfolio &amp; dividend tracking</w:t>
            </w:r>
          </w:p>
        </w:tc>
        <w:tc>
          <w:tcPr>
            <w:tcW w:w="3120" w:type="dxa"/>
            <w:tcBorders>
              <w:top w:val="single" w:sz="4" w:space="0" w:color="CCCCCC"/>
              <w:left w:val="single" w:sz="4" w:space="0" w:color="CCCCCC"/>
              <w:bottom w:val="single" w:sz="4" w:space="0" w:color="CCCCCC"/>
              <w:right w:val="single" w:sz="4" w:space="0" w:color="CCCCCC"/>
            </w:tcBorders>
            <w:shd w:fill="D6E4F0" w:val="clear"/>
          </w:tcPr>
          <w:p>
            <w:pPr>
              <w:pStyle w:val="normal1"/>
              <w:spacing w:lineRule="auto" w:line="240" w:before="60" w:after="60"/>
              <w:rPr/>
            </w:pPr>
            <w:r>
              <w:rPr>
                <w:rFonts w:eastAsia="Arial" w:cs="Arial"/>
                <w:color w:val="1A1A1A"/>
                <w:sz w:val="20"/>
                <w:szCs w:val="20"/>
              </w:rPr>
              <w:t>Higher retail market participation</w:t>
            </w:r>
          </w:p>
          <w:p>
            <w:pPr>
              <w:pStyle w:val="normal1"/>
              <w:spacing w:lineRule="auto" w:line="240" w:before="60" w:after="60"/>
              <w:rPr/>
            </w:pPr>
            <w:r>
              <w:rPr>
                <w:rFonts w:eastAsia="Arial" w:cs="Arial"/>
                <w:color w:val="1A1A1A"/>
                <w:sz w:val="20"/>
                <w:szCs w:val="20"/>
              </w:rPr>
              <w:t>Improved financial inclusion</w:t>
            </w:r>
          </w:p>
          <w:p>
            <w:pPr>
              <w:pStyle w:val="normal1"/>
              <w:spacing w:lineRule="auto" w:line="240" w:before="60" w:after="60"/>
              <w:rPr/>
            </w:pPr>
            <w:r>
              <w:rPr>
                <w:rFonts w:eastAsia="Arial" w:cs="Arial"/>
                <w:color w:val="1A1A1A"/>
                <w:sz w:val="20"/>
                <w:szCs w:val="20"/>
              </w:rPr>
              <w:t>Informed investment decisions</w:t>
            </w:r>
          </w:p>
          <w:p>
            <w:pPr>
              <w:pStyle w:val="normal1"/>
              <w:spacing w:lineRule="auto" w:line="240" w:before="60" w:after="60"/>
              <w:rPr/>
            </w:pPr>
            <w:r>
              <w:rPr>
                <w:rFonts w:eastAsia="Arial" w:cs="Arial"/>
                <w:color w:val="1A1A1A"/>
                <w:sz w:val="20"/>
                <w:szCs w:val="20"/>
              </w:rPr>
              <w:t>Broader economic participation</w:t>
            </w:r>
          </w:p>
        </w:tc>
      </w:tr>
    </w:tbl>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 xml:space="preserve">This report presents a comprehensive analysis of the problem landscape, the proposed </w:t>
      </w:r>
      <w:r>
        <w:rPr>
          <w:color w:val="1A1A1A"/>
        </w:rPr>
        <w:t>Vestora</w:t>
      </w:r>
      <w:r>
        <w:rPr>
          <w:rFonts w:eastAsia="Arial" w:cs="Arial"/>
          <w:color w:val="1A1A1A"/>
          <w:sz w:val="22"/>
          <w:szCs w:val="22"/>
        </w:rPr>
        <w:t xml:space="preserve"> platform, its technical architecture, strategic phasing, expected impact, and a sustainability framework for long-term viability.</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1. BACKGROUND &amp; CONTEXT</w:t>
      </w:r>
    </w:p>
    <w:p>
      <w:pPr>
        <w:pStyle w:val="Heading2"/>
        <w:spacing w:lineRule="auto" w:line="240" w:before="280" w:after="120"/>
        <w:rPr/>
      </w:pPr>
      <w:r>
        <w:rPr>
          <w:rFonts w:eastAsia="Arial" w:cs="Arial"/>
          <w:b/>
          <w:bCs/>
          <w:color w:val="2E6DA4"/>
          <w:sz w:val="28"/>
          <w:szCs w:val="28"/>
        </w:rPr>
        <w:t>1.1 Uganda's Capital Market Landscape</w:t>
      </w:r>
    </w:p>
    <w:p>
      <w:pPr>
        <w:pStyle w:val="normal1"/>
        <w:spacing w:lineRule="auto" w:line="240" w:before="80" w:after="120"/>
        <w:jc w:val="left"/>
        <w:rPr/>
      </w:pPr>
      <w:r>
        <w:rPr>
          <w:rFonts w:eastAsia="Arial" w:cs="Arial"/>
          <w:color w:val="1A1A1A"/>
          <w:sz w:val="22"/>
          <w:szCs w:val="22"/>
        </w:rPr>
        <w:t>The Uganda Securities Exchange (USE), established in 1997, serves as the primary marketplace for trading securities in Uganda. Over the past two decades, the USE has registered several important milestones including the introduction of electronic trading systems and the establishment of the Central Securities Depository (CSD). These investments in digital infrastructure signal Uganda's commitment to modernising its financial markets.</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The USE currently lists equities across sectors including banking, telecommunications, insurance, manufacturing, and agricultural commodities. As of recent periods, Uganda's market capitalisation represents a fraction of its economic potential — significantly underperforming relative to regional peers such as Kenya's Nairobi Securities Exchange and Rwanda's Capital Market Authority.</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Despite infrastructure improvements, Uganda's capital market remains largely inaccessible to ordinary citizens — those who stand to benefit most from investment opportunities.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1.2 The State of Retail Investor Participation</w:t>
      </w:r>
    </w:p>
    <w:p>
      <w:pPr>
        <w:pStyle w:val="normal1"/>
        <w:spacing w:lineRule="auto" w:line="240" w:before="80" w:after="120"/>
        <w:jc w:val="left"/>
        <w:rPr/>
      </w:pPr>
      <w:r>
        <w:rPr>
          <w:rFonts w:eastAsia="Arial" w:cs="Arial"/>
          <w:color w:val="1A1A1A"/>
          <w:sz w:val="22"/>
          <w:szCs w:val="22"/>
        </w:rPr>
        <w:t>Retail investor participation at the USE remains disproportionately low for a country of Uganda's population size and economic trajectory. The dominant participants in the market are institutional investors — pension funds, commercial banks, insurance companies — who collectively drive the majority of trading volumes. Ordinary citizens, university students, youth entrepreneurs, and SACCO members remain largely excluded from meaningful engagement with capital markets.</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exclusion is not fundamentally a product of poverty or disinterest. Research into similar emerging markets reveals that low participation is driven by: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Information asymmetry — retail investors cannot access or interpret market data as easily as institutions.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Low financial literacy — most citizens lack a foundational understanding of how stock markets, bonds, or dividends work.</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Poor digital tools — existing platforms are designed for operational trading, not for public engagement or education.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Trust deficits — citizens distrust systems they do not understand or cannot engage with.</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Accessibility barriers — interfaces are rarely mobile-first or designed for low-bandwidth environments.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1.3 Uganda's Digital Transformation Opportunity</w:t>
      </w:r>
    </w:p>
    <w:p>
      <w:pPr>
        <w:pStyle w:val="normal1"/>
        <w:spacing w:lineRule="auto" w:line="240" w:before="80" w:after="120"/>
        <w:jc w:val="left"/>
        <w:rPr/>
      </w:pPr>
      <w:r>
        <w:rPr>
          <w:rFonts w:eastAsia="Arial" w:cs="Arial"/>
          <w:color w:val="1A1A1A"/>
          <w:sz w:val="22"/>
          <w:szCs w:val="22"/>
        </w:rPr>
        <w:t>Uganda is experiencing accelerating digital adoption. Mobile money penetration has fundamentally transformed how Ugandans transact. Internet penetration continues to grow, driven by affordable smartphones and expanding 4G networks. The National Development Plan III (NDP III) identifies digital transformation as a strategic pillar for economic growth.</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creates a unique and time-sensitive opportunity: to build locally tailored, intelligent financial technology that meets Ugandan investors where they already are — on their mobile devices — and delivers capital market access in a language and format they understand.</w:t>
      </w:r>
    </w:p>
    <w:p>
      <w:pPr>
        <w:pStyle w:val="normal1"/>
        <w:spacing w:lineRule="auto" w:line="240" w:before="120" w:after="0"/>
        <w:rPr/>
      </w:pPr>
      <w:r>
        <w:rPr/>
      </w:r>
    </w:p>
    <w:tbl>
      <w:tblPr>
        <w:tblStyle w:val="Table3"/>
        <w:tblW w:w="9360" w:type="dxa"/>
        <w:jc w:val="left"/>
        <w:tblInd w:w="0" w:type="dxa"/>
        <w:tblLayout w:type="fixed"/>
        <w:tblCellMar>
          <w:top w:w="100" w:type="dxa"/>
          <w:left w:w="120" w:type="dxa"/>
          <w:bottom w:w="100" w:type="dxa"/>
          <w:right w:w="120" w:type="dxa"/>
        </w:tblCellMar>
        <w:tblLook w:val="0000"/>
      </w:tblPr>
      <w:tblGrid>
        <w:gridCol w:w="4680"/>
        <w:gridCol w:w="4679"/>
      </w:tblGrid>
      <w:tr>
        <w:trPr>
          <w:tblHeader w:val="true"/>
        </w:trPr>
        <w:tc>
          <w:tcPr>
            <w:tcW w:w="46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Digital Opportunity</w:t>
            </w:r>
          </w:p>
        </w:tc>
        <w:tc>
          <w:tcPr>
            <w:tcW w:w="467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Capital Market Challenge</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 mobile penetration (70%+)</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Less than 5% of population invests in securities</w:t>
            </w:r>
          </w:p>
        </w:tc>
      </w:tr>
      <w:tr>
        <w:trPr/>
        <w:tc>
          <w:tcPr>
            <w:tcW w:w="46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Growing youth population (78% under 35)</w:t>
            </w:r>
          </w:p>
        </w:tc>
        <w:tc>
          <w:tcPr>
            <w:tcW w:w="467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Youth largely excluded from formal investment</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Rapid fintech adoption (Mobile Money)</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fintech bridge to capital markets</w:t>
            </w:r>
          </w:p>
        </w:tc>
      </w:tr>
      <w:tr>
        <w:trPr/>
        <w:tc>
          <w:tcPr>
            <w:tcW w:w="46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Government NDP III digital agenda</w:t>
            </w:r>
          </w:p>
        </w:tc>
        <w:tc>
          <w:tcPr>
            <w:tcW w:w="467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Limited alignment of capital markets with digital policy</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Expanding internet connectivity</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Investment platforms not optimised for low bandwidth</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2. PROBLEM STATEMENT</w:t>
      </w:r>
    </w:p>
    <w:p>
      <w:pPr>
        <w:pStyle w:val="Heading2"/>
        <w:spacing w:lineRule="auto" w:line="240" w:before="280" w:after="120"/>
        <w:rPr/>
      </w:pPr>
      <w:r>
        <w:rPr>
          <w:rFonts w:eastAsia="Arial" w:cs="Arial"/>
          <w:b/>
          <w:bCs/>
          <w:color w:val="2E6DA4"/>
          <w:sz w:val="28"/>
          <w:szCs w:val="28"/>
        </w:rPr>
        <w:t>2.1 Core Problem</w:t>
      </w:r>
    </w:p>
    <w:p>
      <w:pPr>
        <w:pStyle w:val="normal1"/>
        <w:spacing w:lineRule="auto" w:line="240" w:before="80" w:after="120"/>
        <w:jc w:val="left"/>
        <w:rPr/>
      </w:pPr>
      <w:r>
        <w:rPr>
          <w:rFonts w:eastAsia="Arial" w:cs="Arial"/>
          <w:color w:val="1A1A1A"/>
          <w:sz w:val="22"/>
          <w:szCs w:val="22"/>
        </w:rPr>
        <w:t>Retail participation in Uganda's capital markets remains critically low due to a confluence of structural, technological, and behavioural barriers. These barriers do not reflect a lack of investment potential or public capacity — they reflect a systemic failure to design capital market access tools around the needs, literacy levels, and technological realities of ordinary Ugandan citizens.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core problem is not that Ugandans cannot invest — it is that the infrastructure designed to support their participation was never built for them.</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2.2 Detailed Problem Analysis</w:t>
      </w:r>
    </w:p>
    <w:p>
      <w:pPr>
        <w:pStyle w:val="Heading3"/>
        <w:spacing w:lineRule="auto" w:line="240" w:before="200" w:after="80"/>
        <w:rPr/>
      </w:pPr>
      <w:r>
        <w:rPr>
          <w:rFonts w:eastAsia="Arial" w:cs="Arial"/>
          <w:b/>
          <w:bCs/>
          <w:color w:val="1A3557"/>
          <w:sz w:val="24"/>
          <w:szCs w:val="24"/>
        </w:rPr>
        <w:t>2.2.1 Fragmented and Inaccessible Market Information</w:t>
      </w:r>
    </w:p>
    <w:p>
      <w:pPr>
        <w:pStyle w:val="normal1"/>
        <w:spacing w:lineRule="auto" w:line="240" w:before="80" w:after="120"/>
        <w:jc w:val="left"/>
        <w:rPr/>
      </w:pPr>
      <w:r>
        <w:rPr>
          <w:rFonts w:eastAsia="Arial" w:cs="Arial"/>
          <w:color w:val="1A1A1A"/>
          <w:sz w:val="22"/>
          <w:szCs w:val="22"/>
        </w:rPr>
        <w:t>Financial data on listed companies, stock price movements, trading volumes, and market trends are either unavailable to the public in real-time, or available only in formats that require professional financial training to interpret. A first-time investor trying to understand what is happening on the USE today has no accessible, consolidated, layperson-friendly source of truth.</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2.2.2 Absence of Financial Literacy Infrastructure</w:t>
      </w:r>
    </w:p>
    <w:p>
      <w:pPr>
        <w:pStyle w:val="normal1"/>
        <w:spacing w:lineRule="auto" w:line="240" w:before="80" w:after="120"/>
        <w:jc w:val="left"/>
        <w:rPr/>
      </w:pPr>
      <w:r>
        <w:rPr>
          <w:rFonts w:eastAsia="Arial" w:cs="Arial"/>
          <w:color w:val="1A1A1A"/>
          <w:sz w:val="22"/>
          <w:szCs w:val="22"/>
        </w:rPr>
        <w:t>Most Ugandans complete secondary and tertiary education without receiving meaningful education on capital markets, investing, dividends, or securities. Investment clubs and SACCOs exist but typically lack access to structured, credible, and interactive financial education materials tailored to Uganda's market context. The knowledge gap between institutional and retail investors is vast and growing.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2.2.3 Poor User Experience in Existing Tools</w:t>
      </w:r>
    </w:p>
    <w:p>
      <w:pPr>
        <w:pStyle w:val="normal1"/>
        <w:spacing w:lineRule="auto" w:line="240" w:before="80" w:after="120"/>
        <w:jc w:val="left"/>
        <w:rPr/>
      </w:pPr>
      <w:r>
        <w:rPr>
          <w:rFonts w:eastAsia="Arial" w:cs="Arial"/>
          <w:color w:val="1A1A1A"/>
          <w:sz w:val="22"/>
          <w:szCs w:val="22"/>
        </w:rPr>
        <w:t>Existing platforms associated with USE operations are primarily designed for operational and institutional use. They are not optimised for user experience, they do not offer personalised analytics, and they are rarely mobile-first. The result is a public that finds digital capital market tools intimidating, confusing, or irrelevant to their daily financial decision-making.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2.2.4 Lack of Intelligent Digital Tools for Retail Investors</w:t>
      </w:r>
    </w:p>
    <w:p>
      <w:pPr>
        <w:pStyle w:val="normal1"/>
        <w:spacing w:lineRule="auto" w:line="240" w:before="80" w:after="120"/>
        <w:jc w:val="left"/>
        <w:rPr/>
      </w:pPr>
      <w:r>
        <w:rPr>
          <w:rFonts w:eastAsia="Arial" w:cs="Arial"/>
          <w:color w:val="1A1A1A"/>
          <w:sz w:val="22"/>
          <w:szCs w:val="22"/>
        </w:rPr>
        <w:t>No locally developed AI-powered tool exists to help ordinary Ugandan investors interpret market events, understand company performance, or receive personalised insights. In developed markets, retail investors benefit from sophisticated tools including AI-generated summaries, robo-advisors, and smart notification systems. Uganda's retail investors have access to none of these.</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2.2.5 Youth and First-Time Investor Exclusion</w:t>
      </w:r>
    </w:p>
    <w:p>
      <w:pPr>
        <w:pStyle w:val="normal1"/>
        <w:spacing w:lineRule="auto" w:line="240" w:before="80" w:after="120"/>
        <w:jc w:val="left"/>
        <w:rPr/>
      </w:pPr>
      <w:r>
        <w:rPr>
          <w:rFonts w:eastAsia="Arial" w:cs="Arial"/>
          <w:color w:val="1A1A1A"/>
          <w:sz w:val="22"/>
          <w:szCs w:val="22"/>
        </w:rPr>
        <w:t>Uganda's youth — who represent the majority of the population and the country's future economic workforce — are almost entirely absent from capital market participation. This exclusion has compounding long-term consequences: it perpetuates wealth concentration, limits domestic capital mobilisation, and reduces the market depth needed for a vibrant securities exchange.</w:t>
      </w:r>
    </w:p>
    <w:p>
      <w:pPr>
        <w:pStyle w:val="normal1"/>
        <w:spacing w:lineRule="auto" w:line="240" w:before="120" w:after="0"/>
        <w:rPr/>
      </w:pPr>
      <w:r>
        <w:rPr/>
      </w:r>
    </w:p>
    <w:tbl>
      <w:tblPr>
        <w:tblStyle w:val="Table4"/>
        <w:tblW w:w="9360" w:type="dxa"/>
        <w:jc w:val="left"/>
        <w:tblInd w:w="0" w:type="dxa"/>
        <w:tblLayout w:type="fixed"/>
        <w:tblCellMar>
          <w:top w:w="100" w:type="dxa"/>
          <w:left w:w="120" w:type="dxa"/>
          <w:bottom w:w="100" w:type="dxa"/>
          <w:right w:w="120" w:type="dxa"/>
        </w:tblCellMar>
        <w:tblLook w:val="0000"/>
      </w:tblPr>
      <w:tblGrid>
        <w:gridCol w:w="3120"/>
        <w:gridCol w:w="3120"/>
        <w:gridCol w:w="3120"/>
      </w:tblGrid>
      <w:tr>
        <w:trPr>
          <w:tblHeader w:val="true"/>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Problem Area</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Current Gap</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Impact</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Market Information</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real-time, layperson-friendly data access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Uninformed investment decisions</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Financial Literacy</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No structured local investment education</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Low public confidence in markets</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Digital Tools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AI-powered retail investor tools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Institutional advantage over retail</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Mobile Access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No mobile-first investment platforms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Urban/rural digital divide deepens</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Youth Engagement</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youth-focused market engagement</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Lost generation of investors</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3. PROPOSED SOLUTION — USE INSIGHT</w:t>
      </w:r>
    </w:p>
    <w:p>
      <w:pPr>
        <w:pStyle w:val="Heading2"/>
        <w:spacing w:lineRule="auto" w:line="240" w:before="280" w:after="120"/>
        <w:rPr/>
      </w:pPr>
      <w:r>
        <w:rPr>
          <w:rFonts w:eastAsia="Arial" w:cs="Arial"/>
          <w:b/>
          <w:bCs/>
          <w:color w:val="2E6DA4"/>
          <w:sz w:val="28"/>
          <w:szCs w:val="28"/>
        </w:rPr>
        <w:t>3.1 Platform Overview</w:t>
      </w:r>
    </w:p>
    <w:p>
      <w:pPr>
        <w:pStyle w:val="normal1"/>
        <w:spacing w:lineRule="auto" w:line="240" w:before="80" w:after="120"/>
        <w:jc w:val="left"/>
        <w:rPr/>
      </w:pPr>
      <w:r>
        <w:rPr>
          <w:color w:val="1A1A1A"/>
        </w:rPr>
        <w:t>Vestora</w:t>
      </w:r>
      <w:r>
        <w:rPr>
          <w:rFonts w:eastAsia="Arial" w:cs="Arial"/>
          <w:color w:val="1A1A1A"/>
          <w:sz w:val="22"/>
          <w:szCs w:val="22"/>
        </w:rPr>
        <w:t xml:space="preserve"> is a smart, secure, and mobile-first investor intelligence platform designed from the ground up to serve Uganda's retail investors. Unlike conventional trading portals, USE Insight does not replicate existing trading infrastructure — it complements it by focusing on the human dimensions of investment: understanding, confidence, accessibility, and engagement.</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The platform operates across six integrated capability pillars: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3.2 Platform Features in Detail</w:t>
      </w:r>
    </w:p>
    <w:p>
      <w:pPr>
        <w:pStyle w:val="Heading3"/>
        <w:spacing w:lineRule="auto" w:line="240" w:before="200" w:after="80"/>
        <w:rPr/>
      </w:pPr>
      <w:r>
        <w:rPr>
          <w:rFonts w:eastAsia="Arial" w:cs="Arial"/>
          <w:b/>
          <w:bCs/>
          <w:color w:val="1A3557"/>
          <w:sz w:val="24"/>
          <w:szCs w:val="24"/>
        </w:rPr>
        <w:t>3.2.1 Real-Time Market Dashboard</w:t>
      </w:r>
    </w:p>
    <w:p>
      <w:pPr>
        <w:pStyle w:val="normal1"/>
        <w:spacing w:lineRule="auto" w:line="240" w:before="80" w:after="120"/>
        <w:jc w:val="left"/>
        <w:rPr/>
      </w:pPr>
      <w:r>
        <w:rPr>
          <w:rFonts w:eastAsia="Arial" w:cs="Arial"/>
          <w:color w:val="1A1A1A"/>
          <w:sz w:val="22"/>
          <w:szCs w:val="22"/>
        </w:rPr>
        <w:t>The Market Dashboard serves as the platform's primary intelligence hub. It provides retail investors with a clear, visually engaging, and continuously updated view of Uganda's securities market. The dashboard presents listed company overviews, price movement tracking, trading volumes, sector performance, and market activity visualisations — all rendered in a format accessible to non-specialist users.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Listed companies overview with performance indicators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Interactive price movement charts and trend visualisations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Trading volume statistics and historical comparison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summary widgets for quick daily orientation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Sector-based performance groupings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3.2.2 AI-Powered Financial Assistant</w:t>
      </w:r>
    </w:p>
    <w:p>
      <w:pPr>
        <w:pStyle w:val="normal1"/>
        <w:spacing w:lineRule="auto" w:line="240" w:before="80" w:after="120"/>
        <w:jc w:val="left"/>
        <w:rPr/>
      </w:pPr>
      <w:r>
        <w:rPr>
          <w:rFonts w:eastAsia="Arial" w:cs="Arial"/>
          <w:color w:val="1A1A1A"/>
          <w:sz w:val="22"/>
          <w:szCs w:val="22"/>
        </w:rPr>
        <w:t>The AI Financial Assistant is the platform's most innovative and differentiating feature. It enables users to ask natural language questions about market events, financial concepts, and company performance — and receive clear, jargon-free, contextualised answers. This directly addresses Uganda's financial literacy gap.</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Example interactions the AI assistant handles: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"Why did MTN Uganda stock rise today?"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"What does it mean when a company pays a dividend?"</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"Should I be worried about market volatility?"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"What is the difference between a bond and a share?"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"How do I calculate my investment return?"</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AI assistant transforms complex financial information into accessible insight — democratising the financial intelligence previously available only to institutional investors and professional analysts.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3.2.3 Portfolio Tracker</w:t>
      </w:r>
    </w:p>
    <w:p>
      <w:pPr>
        <w:pStyle w:val="normal1"/>
        <w:spacing w:lineRule="auto" w:line="240" w:before="80" w:after="120"/>
        <w:jc w:val="left"/>
        <w:rPr/>
      </w:pPr>
      <w:r>
        <w:rPr>
          <w:rFonts w:eastAsia="Arial" w:cs="Arial"/>
          <w:color w:val="1A1A1A"/>
          <w:sz w:val="22"/>
          <w:szCs w:val="22"/>
        </w:rPr>
        <w:t>The Portfolio Tracker allows registered users to build a personal investment record, monitor growth over time, and calculate actual returns. Users can input their holdings, receive automatic performance calculations, and track dividend earnings — giving them full visibility of their investment health without requiring spreadsheets or professional tools.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Add and manage personal equity holdings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Automatic return calculations (capital gain + dividend yield)</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Historical performance visualisation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Dividend timeline and income tracking</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Comparison against market benchmarks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3.2.4 Investor Education Hub</w:t>
      </w:r>
    </w:p>
    <w:p>
      <w:pPr>
        <w:pStyle w:val="normal1"/>
        <w:spacing w:lineRule="auto" w:line="240" w:before="80" w:after="120"/>
        <w:jc w:val="left"/>
        <w:rPr/>
      </w:pPr>
      <w:r>
        <w:rPr>
          <w:rFonts w:eastAsia="Arial" w:cs="Arial"/>
          <w:color w:val="1A1A1A"/>
          <w:sz w:val="22"/>
          <w:szCs w:val="22"/>
        </w:rPr>
        <w:t>The Education Hub provides structured, interactive, and locally contextualised learning modules for investors at all levels. Content is designed to progressively build financial knowledge — from basic concepts for first-time investors to more advanced topics such as portfolio diversification and risk management.</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Beginner modules: What is a stock? What is the USE?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Intermediate modules: Reading financial statements, understanding dividends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Advanced modules: Portfolio theory, market risk, bonds and fixed income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Uganda-specific content: Listed companies, USE regulations, investor rights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Interactive quizzes and progress tracking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3.2.5 Smart Alert System</w:t>
      </w:r>
    </w:p>
    <w:p>
      <w:pPr>
        <w:pStyle w:val="normal1"/>
        <w:spacing w:lineRule="auto" w:line="240" w:before="80" w:after="120"/>
        <w:jc w:val="left"/>
        <w:rPr/>
      </w:pPr>
      <w:r>
        <w:rPr>
          <w:rFonts w:eastAsia="Arial" w:cs="Arial"/>
          <w:color w:val="1A1A1A"/>
          <w:sz w:val="22"/>
          <w:szCs w:val="22"/>
        </w:rPr>
        <w:t>The Smart Alert System provides timely, personalised notifications that keep investors engaged and informed without requiring them to constantly monitor the platform. Alerts are configurable and delivered via push notification or email.</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Price movement alerts (configurable thresholds)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Dividend announcements for tracked stocks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Earnings results and company news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Portfolio performance milestones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opening/closing summaries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3.2.6 Mobile-First Accessibility</w:t>
      </w:r>
    </w:p>
    <w:p>
      <w:pPr>
        <w:pStyle w:val="normal1"/>
        <w:spacing w:lineRule="auto" w:line="240" w:before="80" w:after="120"/>
        <w:jc w:val="left"/>
        <w:rPr/>
      </w:pPr>
      <w:r>
        <w:rPr>
          <w:rFonts w:eastAsia="Arial" w:cs="Arial"/>
          <w:color w:val="1A1A1A"/>
          <w:sz w:val="22"/>
          <w:szCs w:val="22"/>
        </w:rPr>
        <w:t>All platform features are designed with mobile-first principles, recognising that the majority of Uganda's internet users access the web via smartphone on mobile data networks. The platform implements low-data optimisation, progressive loading, and responsive design — ensuring usability across different device capabilities and network conditions.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Optimised for 2G/3G/4G environments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Responsive design across all screen sizes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Offline content caching for education modules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Planned USSD integration for feature phone access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Future native mobile application (Android/iOS)</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4. TECHNICAL ARCHITECTURE</w:t>
      </w:r>
    </w:p>
    <w:p>
      <w:pPr>
        <w:pStyle w:val="Heading2"/>
        <w:spacing w:lineRule="auto" w:line="240" w:before="280" w:after="120"/>
        <w:rPr/>
      </w:pPr>
      <w:r>
        <w:rPr>
          <w:rFonts w:eastAsia="Arial" w:cs="Arial"/>
          <w:b/>
          <w:bCs/>
          <w:color w:val="2E6DA4"/>
          <w:sz w:val="28"/>
          <w:szCs w:val="28"/>
        </w:rPr>
        <w:t>4.1 Architecture Overview</w:t>
      </w:r>
    </w:p>
    <w:p>
      <w:pPr>
        <w:pStyle w:val="normal1"/>
        <w:spacing w:lineRule="auto" w:line="240" w:before="80" w:after="120"/>
        <w:jc w:val="left"/>
        <w:rPr/>
      </w:pPr>
      <w:r>
        <w:rPr>
          <w:color w:val="1A1A1A"/>
        </w:rPr>
        <w:t>Vestora</w:t>
      </w:r>
      <w:r>
        <w:rPr>
          <w:rFonts w:eastAsia="Arial" w:cs="Arial"/>
          <w:color w:val="1A1A1A"/>
          <w:sz w:val="22"/>
          <w:szCs w:val="22"/>
        </w:rPr>
        <w:t xml:space="preserve"> is built on a modern, scalable, and security-conscious technology stack. The architecture is designed to support both the MVP phase and future scaling to accommodate growing user bases, additional data sources, and expanded AI capabilities.</w:t>
      </w:r>
    </w:p>
    <w:p>
      <w:pPr>
        <w:pStyle w:val="normal1"/>
        <w:spacing w:lineRule="auto" w:line="240" w:before="120" w:after="0"/>
        <w:rPr/>
      </w:pPr>
      <w:r>
        <w:rPr/>
      </w:r>
    </w:p>
    <w:tbl>
      <w:tblPr>
        <w:tblStyle w:val="Table5"/>
        <w:tblW w:w="9360" w:type="dxa"/>
        <w:jc w:val="left"/>
        <w:tblInd w:w="0" w:type="dxa"/>
        <w:tblLayout w:type="fixed"/>
        <w:tblCellMar>
          <w:top w:w="100" w:type="dxa"/>
          <w:left w:w="120" w:type="dxa"/>
          <w:bottom w:w="100" w:type="dxa"/>
          <w:right w:w="120" w:type="dxa"/>
        </w:tblCellMar>
        <w:tblLook w:val="0000"/>
      </w:tblPr>
      <w:tblGrid>
        <w:gridCol w:w="2199"/>
        <w:gridCol w:w="3080"/>
        <w:gridCol w:w="4081"/>
      </w:tblGrid>
      <w:tr>
        <w:trPr>
          <w:tblHeader w:val="true"/>
        </w:trPr>
        <w:tc>
          <w:tcPr>
            <w:tcW w:w="21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Layer</w:t>
            </w:r>
          </w:p>
        </w:tc>
        <w:tc>
          <w:tcPr>
            <w:tcW w:w="30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Technology</w:t>
            </w:r>
          </w:p>
        </w:tc>
        <w:tc>
          <w:tcPr>
            <w:tcW w:w="408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Purpose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Frontend</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React.js + Tailwind CSS</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User interface, dashboards, responsive design</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Data Visualisation</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Recharts / Plotly</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Interactive charts, market graphs, portfolio analytics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Backend API</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FastAPI (Python)</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Business logic, data processing, REST API services</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Authentication</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JWT (JSON Web Tokens)</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Secure user sessions and role-based access control</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Database</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PostgreSQL</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Persistent user data, portfolios, watchlists</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AI Layer</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OpenAI API / Local LLM</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Natural language Q&amp;A, market summaries, explanations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Deployment</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Docker + Cloud</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Containerised deployment, scalability, reliability</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Version Control</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Git + GitHub</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Code management, collaboration, CI/CD pipeline</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4.2 Security Framework</w:t>
      </w:r>
    </w:p>
    <w:p>
      <w:pPr>
        <w:pStyle w:val="normal1"/>
        <w:spacing w:lineRule="auto" w:line="240" w:before="80" w:after="120"/>
        <w:jc w:val="left"/>
        <w:rPr/>
      </w:pPr>
      <w:r>
        <w:rPr>
          <w:rFonts w:eastAsia="Arial" w:cs="Arial"/>
          <w:color w:val="1A1A1A"/>
          <w:sz w:val="22"/>
          <w:szCs w:val="22"/>
        </w:rPr>
        <w:t xml:space="preserve">Given the sensitive nature of financial data, </w:t>
      </w:r>
      <w:r>
        <w:rPr>
          <w:color w:val="1A1A1A"/>
        </w:rPr>
        <w:t>Vestora</w:t>
      </w:r>
      <w:r>
        <w:rPr>
          <w:rFonts w:eastAsia="Arial" w:cs="Arial"/>
          <w:color w:val="1A1A1A"/>
          <w:sz w:val="22"/>
          <w:szCs w:val="22"/>
        </w:rPr>
        <w:t xml:space="preserve"> implements a comprehensive security framework aligned with industry best practices: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Encrypted communication — all data transmitted via HTTPS/TLS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Secure authentication — JWT-based sessions with token expiry and refresh</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Role-based access control — differentiated permissions for users, brokers, and administrators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API protection — rate limiting, input validation, and API key management</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Audit logging — comprehensive activity logs for compliance and forensic analysis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Secure password management — bcrypt hashing, no plain-text password storage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Infrastructure monitoring — anomaly detection and real-time alerting</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4.3 AI Integration Strategy</w:t>
      </w:r>
    </w:p>
    <w:p>
      <w:pPr>
        <w:pStyle w:val="normal1"/>
        <w:spacing w:lineRule="auto" w:line="240" w:before="80" w:after="120"/>
        <w:jc w:val="left"/>
        <w:rPr/>
      </w:pPr>
      <w:r>
        <w:rPr>
          <w:rFonts w:eastAsia="Arial" w:cs="Arial"/>
          <w:color w:val="1A1A1A"/>
          <w:sz w:val="22"/>
          <w:szCs w:val="22"/>
        </w:rPr>
        <w:t>The AI layer is central to USE Insight's value proposition. The platform employs a hybrid AI strategy:</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1 (MVP): Integration with OpenAI GPT API for natural language processing, market summary generation, and investor Q&amp;A.</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2: Evaluation and potential integration of local/open-source language models (e.g., Llama, Mistral) for data sovereignty, cost efficiency, and offline capability.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3: Development of a Uganda-specific financial AI fine-tuned on USE market data, listed company reports, and local regulatory frameworks.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AI layer is designed to be model-agnostic — allowing seamless switching between AI providers as the technology landscape evolves, without disrupting core platform functionality.</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5. IMPLEMENTATION STRATEGY</w:t>
      </w:r>
    </w:p>
    <w:p>
      <w:pPr>
        <w:pStyle w:val="Heading2"/>
        <w:spacing w:lineRule="auto" w:line="240" w:before="280" w:after="120"/>
        <w:rPr/>
      </w:pPr>
      <w:r>
        <w:rPr>
          <w:rFonts w:eastAsia="Arial" w:cs="Arial"/>
          <w:b/>
          <w:bCs/>
          <w:color w:val="2E6DA4"/>
          <w:sz w:val="28"/>
          <w:szCs w:val="28"/>
        </w:rPr>
        <w:t>5.1 Phased Development</w:t>
      </w:r>
      <w:r>
        <w:rPr/>
        <w:t xml:space="preserve"> </w:t>
      </w:r>
      <w:r>
        <w:rPr>
          <w:rFonts w:eastAsia="Arial" w:cs="Arial"/>
          <w:b/>
          <w:bCs/>
          <w:color w:val="2E6DA4"/>
          <w:sz w:val="28"/>
          <w:szCs w:val="28"/>
        </w:rPr>
        <w:t>Pla</w:t>
      </w:r>
      <w:r>
        <w:rPr/>
        <w:t xml:space="preserve">n. </w:t>
      </w:r>
      <w:r>
        <w:rPr>
          <w:color w:val="1A1A1A"/>
          <w:sz w:val="22"/>
          <w:szCs w:val="22"/>
        </w:rPr>
        <w:t xml:space="preserve">Vestora </w:t>
      </w:r>
      <w:r>
        <w:rPr>
          <w:rFonts w:eastAsia="Arial" w:cs="Arial"/>
          <w:color w:val="1A1A1A"/>
          <w:sz w:val="22"/>
          <w:szCs w:val="22"/>
        </w:rPr>
        <w:t>follows a disciplined, phased development approach that prioritises delivering working, testable value at each stage while progressively expanding capabilities.</w:t>
      </w:r>
    </w:p>
    <w:p>
      <w:pPr>
        <w:pStyle w:val="normal1"/>
        <w:spacing w:lineRule="auto" w:line="240" w:before="120" w:after="0"/>
        <w:rPr/>
      </w:pPr>
      <w:r>
        <w:rPr/>
      </w:r>
    </w:p>
    <w:tbl>
      <w:tblPr>
        <w:tblStyle w:val="Table6"/>
        <w:tblW w:w="9360" w:type="dxa"/>
        <w:jc w:val="left"/>
        <w:tblInd w:w="0" w:type="dxa"/>
        <w:tblLayout w:type="fixed"/>
        <w:tblCellMar>
          <w:top w:w="100" w:type="dxa"/>
          <w:left w:w="120" w:type="dxa"/>
          <w:bottom w:w="100" w:type="dxa"/>
          <w:right w:w="120" w:type="dxa"/>
        </w:tblCellMar>
        <w:tblLook w:val="0000"/>
      </w:tblPr>
      <w:tblGrid>
        <w:gridCol w:w="1439"/>
        <w:gridCol w:w="2160"/>
        <w:gridCol w:w="3961"/>
        <w:gridCol w:w="1799"/>
      </w:tblGrid>
      <w:tr>
        <w:trPr>
          <w:tblHeader w:val="true"/>
        </w:trPr>
        <w:tc>
          <w:tcPr>
            <w:tcW w:w="143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Phase</w:t>
            </w:r>
          </w:p>
        </w:tc>
        <w:tc>
          <w:tcPr>
            <w:tcW w:w="216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Name</w:t>
            </w:r>
          </w:p>
        </w:tc>
        <w:tc>
          <w:tcPr>
            <w:tcW w:w="396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Key Deliverables</w:t>
            </w:r>
          </w:p>
        </w:tc>
        <w:tc>
          <w:tcPr>
            <w:tcW w:w="17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Timeline</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1</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Research &amp; Design</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Requirements analysis, system architecture, UI/UX wireframes, stakeholder consultations, data source identification</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1–4</w:t>
            </w:r>
          </w:p>
        </w:tc>
      </w:tr>
      <w:tr>
        <w:trPr/>
        <w:tc>
          <w:tcPr>
            <w:tcW w:w="143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Phase 2</w:t>
            </w:r>
          </w:p>
        </w:tc>
        <w:tc>
          <w:tcPr>
            <w:tcW w:w="216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Core Development</w:t>
            </w:r>
          </w:p>
        </w:tc>
        <w:tc>
          <w:tcPr>
            <w:tcW w:w="396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Backend API, database, authentication, market dashboard, portfolio tracker, frontend implementation</w:t>
            </w:r>
          </w:p>
        </w:tc>
        <w:tc>
          <w:tcPr>
            <w:tcW w:w="1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Weeks 5–12</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3</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AI Integration</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AI financial assistant, smart alerts, education hub, AI-generated market summaries, notification system</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13–18</w:t>
            </w:r>
          </w:p>
        </w:tc>
      </w:tr>
      <w:tr>
        <w:trPr/>
        <w:tc>
          <w:tcPr>
            <w:tcW w:w="143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Phase 4</w:t>
            </w:r>
          </w:p>
        </w:tc>
        <w:tc>
          <w:tcPr>
            <w:tcW w:w="216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Testing &amp; QA</w:t>
            </w:r>
          </w:p>
        </w:tc>
        <w:tc>
          <w:tcPr>
            <w:tcW w:w="396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Security audits, load testing, UX testing with real users, bug resolution, performance optimisation</w:t>
            </w:r>
          </w:p>
        </w:tc>
        <w:tc>
          <w:tcPr>
            <w:tcW w:w="1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Weeks 19–22</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5</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Launch &amp; Feedback</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Prototype showcase, stakeholder demos, government presentations, public beta launch, iteration</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23–26</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5.2 Minimum Viable Product (MVP) Scope</w:t>
      </w:r>
    </w:p>
    <w:p>
      <w:pPr>
        <w:pStyle w:val="normal1"/>
        <w:spacing w:lineRule="auto" w:line="240" w:before="80" w:after="120"/>
        <w:jc w:val="left"/>
        <w:rPr/>
      </w:pPr>
      <w:r>
        <w:rPr>
          <w:rFonts w:eastAsia="Arial" w:cs="Arial"/>
          <w:color w:val="1A1A1A"/>
          <w:sz w:val="22"/>
          <w:szCs w:val="22"/>
        </w:rPr>
        <w:t>The MVP is designed to demonstrate core value and validate platform assumptions with real users, while remaining technically achievable within the initial development timeframe. The MVP includes:</w:t>
      </w:r>
    </w:p>
    <w:p>
      <w:pPr>
        <w:pStyle w:val="normal1"/>
        <w:spacing w:lineRule="auto" w:line="240" w:before="120" w:after="0"/>
        <w:rPr/>
      </w:pPr>
      <w:r>
        <w:rPr/>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Dashboard — real-time USE market overview and company listings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Portfolio Tracker — personal holdings management and return calculation</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AI Financial Assistant — natural language Q&amp;A on market topics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Investor Education Hub — beginner to intermediate learning modules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Smart Alert System — basic price and dividend notifications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User Authentication — secure registration, login, and profile management</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5.3 Target User Acquisition Strategy</w:t>
      </w:r>
    </w:p>
    <w:p>
      <w:pPr>
        <w:pStyle w:val="normal1"/>
        <w:spacing w:lineRule="auto" w:line="240" w:before="80" w:after="120"/>
        <w:jc w:val="left"/>
        <w:rPr/>
      </w:pPr>
      <w:r>
        <w:rPr>
          <w:color w:val="1A1A1A"/>
        </w:rPr>
        <w:t xml:space="preserve">Vestora </w:t>
      </w:r>
      <w:r>
        <w:rPr>
          <w:rFonts w:eastAsia="Arial" w:cs="Arial"/>
          <w:color w:val="1A1A1A"/>
          <w:sz w:val="22"/>
          <w:szCs w:val="22"/>
        </w:rPr>
        <w:t>targets a diverse user base, with a particular focus on underserved segments:</w:t>
      </w:r>
    </w:p>
    <w:p>
      <w:pPr>
        <w:pStyle w:val="normal1"/>
        <w:spacing w:lineRule="auto" w:line="240" w:before="120" w:after="0"/>
        <w:rPr/>
      </w:pPr>
      <w:r>
        <w:rPr/>
      </w:r>
    </w:p>
    <w:tbl>
      <w:tblPr>
        <w:tblStyle w:val="Table7"/>
        <w:tblW w:w="9360" w:type="dxa"/>
        <w:jc w:val="left"/>
        <w:tblInd w:w="0" w:type="dxa"/>
        <w:tblLayout w:type="fixed"/>
        <w:tblCellMar>
          <w:top w:w="100" w:type="dxa"/>
          <w:left w:w="120" w:type="dxa"/>
          <w:bottom w:w="100" w:type="dxa"/>
          <w:right w:w="120" w:type="dxa"/>
        </w:tblCellMar>
        <w:tblLook w:val="0000"/>
      </w:tblPr>
      <w:tblGrid>
        <w:gridCol w:w="2799"/>
        <w:gridCol w:w="3281"/>
        <w:gridCol w:w="3280"/>
      </w:tblGrid>
      <w:tr>
        <w:trPr>
          <w:tblHeader w:val="true"/>
        </w:trPr>
        <w:tc>
          <w:tcPr>
            <w:tcW w:w="27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User Segment</w:t>
            </w:r>
          </w:p>
        </w:tc>
        <w:tc>
          <w:tcPr>
            <w:tcW w:w="328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Estimated Size</w:t>
            </w:r>
          </w:p>
        </w:tc>
        <w:tc>
          <w:tcPr>
            <w:tcW w:w="32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Engagement Strategy</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Retail Investors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~50,000 current USE account holders</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Direct partnership with USE and licensed brokers</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University Students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~250,000 enrolled nationally</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Campus ambassador programmes, university partnerships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SACCO Members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~5 million nationally</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Partnership with SACCO umbrella bodies</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Investment Clubs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~2,000 registered clubs</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Dedicated club portfolio features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First-Time Investors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Broad public</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Financial literacy campaigns, social media engagement</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Brokers &amp; Advisors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Licensed USE broker network</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B2B integration tools and premium analytics</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6. EXPECTED IMPACT</w:t>
      </w:r>
    </w:p>
    <w:p>
      <w:pPr>
        <w:pStyle w:val="Heading2"/>
        <w:spacing w:lineRule="auto" w:line="240" w:before="280" w:after="120"/>
        <w:rPr/>
      </w:pPr>
      <w:r>
        <w:rPr>
          <w:rFonts w:eastAsia="Arial" w:cs="Arial"/>
          <w:b/>
          <w:bCs/>
          <w:color w:val="2E6DA4"/>
          <w:sz w:val="28"/>
          <w:szCs w:val="28"/>
        </w:rPr>
        <w:t>6.1 Economic Impact</w:t>
      </w:r>
    </w:p>
    <w:p>
      <w:pPr>
        <w:pStyle w:val="normal1"/>
        <w:spacing w:lineRule="auto" w:line="240" w:before="80" w:after="120"/>
        <w:jc w:val="left"/>
        <w:rPr/>
      </w:pPr>
      <w:r>
        <w:rPr>
          <w:color w:val="1A1A1A"/>
        </w:rPr>
        <w:t>Vestora</w:t>
      </w:r>
      <w:r>
        <w:rPr>
          <w:rFonts w:eastAsia="Arial" w:cs="Arial"/>
          <w:color w:val="1A1A1A"/>
          <w:sz w:val="22"/>
          <w:szCs w:val="22"/>
        </w:rPr>
        <w:t xml:space="preserve"> is designed to generate measurable economic impact at both micro and macro levels: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Increased domestic capital mobilisation — greater retail participation increases liquidity and market depth at the USE.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Improved allocation of national savings — citizens who understand investment options can direct savings into productive capital markets rather than only informal savings groups.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Support for listed companies — increased retail investor interest supports share demand and company valuations.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Contribution to NDP III targets — aligns with government goals for financial sector deepening and digital economic transformation.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Reduced capital flight — by providing compelling local investment intelligence, the platform discourages capital from leaving Uganda's formal financial ecosystem.</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6.2 Social Impact</w:t>
      </w:r>
    </w:p>
    <w:p>
      <w:pPr>
        <w:pStyle w:val="normal1"/>
        <w:spacing w:lineRule="auto" w:line="240" w:before="80" w:after="120"/>
        <w:jc w:val="left"/>
        <w:rPr/>
      </w:pPr>
      <w:r>
        <w:rPr>
          <w:rFonts w:eastAsia="Arial" w:cs="Arial"/>
          <w:color w:val="1A1A1A"/>
          <w:sz w:val="22"/>
          <w:szCs w:val="22"/>
        </w:rPr>
        <w:t xml:space="preserve">Beyond economics, </w:t>
      </w:r>
      <w:r>
        <w:rPr>
          <w:color w:val="1A1A1A"/>
        </w:rPr>
        <w:t>Vestora</w:t>
      </w:r>
      <w:r>
        <w:rPr>
          <w:rFonts w:eastAsia="Arial" w:cs="Arial"/>
          <w:color w:val="1A1A1A"/>
          <w:sz w:val="22"/>
          <w:szCs w:val="22"/>
        </w:rPr>
        <w:t xml:space="preserve"> generates profound social transformation:</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Democratisation of wealth creation — investment opportunities historically available only to the affluent become accessible to ordinary citizens.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Youth financial empowerment — a new generation of financially literate, investment-aware young Ugandans.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Gender inclusion — mobile-first, accessible design reduces traditional barriers to female participation in capital markets.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Rural-urban equity — low-bandwidth design ensures that geographic location does not determine access to investment tools.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Strengthened public trust in financial institutions — transparent, accessible tools improve citizen confidence in formal financial systems.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6.3 Technological Impact</w:t>
      </w:r>
    </w:p>
    <w:p>
      <w:pPr>
        <w:pStyle w:val="normal1"/>
        <w:spacing w:lineRule="auto" w:line="240" w:before="80" w:after="120"/>
        <w:jc w:val="left"/>
        <w:rPr/>
      </w:pPr>
      <w:r>
        <w:rPr>
          <w:color w:val="1A1A1A"/>
        </w:rPr>
        <w:t>Vestora</w:t>
      </w:r>
      <w:r>
        <w:rPr>
          <w:rFonts w:eastAsia="Arial" w:cs="Arial"/>
          <w:color w:val="1A1A1A"/>
          <w:sz w:val="22"/>
          <w:szCs w:val="22"/>
        </w:rPr>
        <w:t xml:space="preserve"> makes a strategic contribution to Uganda's technology ecosystem:</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Proof of concept for locally developed AI-powered fintech — demonstrating Uganda's capacity to build sophisticated financial technology domestically.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Open architecture for ecosystem growth — the platform's API-first design enables future integration with brokers, banks, and other fintech providers.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Skills development — the development and operation of the platform builds local expertise in AI, data engineering, and financial technology.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 xml:space="preserve">Regional precedent — a successful </w:t>
      </w:r>
      <w:r>
        <w:rPr>
          <w:color w:val="1A1A1A"/>
        </w:rPr>
        <w:t>Vestora</w:t>
      </w: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 xml:space="preserve"> creates a replicable model for other African securities exchanges facing similar retail participation challenges.</w:t>
      </w:r>
    </w:p>
    <w:p>
      <w:pPr>
        <w:pStyle w:val="normal1"/>
        <w:spacing w:lineRule="auto" w:line="240" w:before="120" w:after="0"/>
        <w:rPr/>
      </w:pPr>
      <w:r>
        <w:rPr/>
      </w:r>
    </w:p>
    <w:tbl>
      <w:tblPr>
        <w:tblStyle w:val="Table8"/>
        <w:tblW w:w="9360" w:type="dxa"/>
        <w:jc w:val="left"/>
        <w:tblInd w:w="0" w:type="dxa"/>
        <w:tblLayout w:type="fixed"/>
        <w:tblCellMar>
          <w:top w:w="120" w:type="dxa"/>
          <w:left w:w="200" w:type="dxa"/>
          <w:bottom w:w="80" w:type="dxa"/>
          <w:right w:w="200" w:type="dxa"/>
        </w:tblCellMar>
        <w:tblLook w:val="0000"/>
      </w:tblPr>
      <w:tblGrid>
        <w:gridCol w:w="9360"/>
      </w:tblGrid>
      <w:tr>
        <w:trPr/>
        <w:tc>
          <w:tcPr>
            <w:tcW w:w="936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4"/>
                <w:szCs w:val="24"/>
              </w:rPr>
              <w:t>Key Impact Metrics (3-Year Targets)</w:t>
            </w:r>
          </w:p>
        </w:tc>
      </w:tr>
      <w:tr>
        <w:trPr/>
        <w:tc>
          <w:tcPr>
            <w:tcW w:w="9360" w:type="dxa"/>
            <w:tcBorders>
              <w:top w:val="single" w:sz="4" w:space="0" w:color="2E6DA4"/>
              <w:left w:val="single" w:sz="4" w:space="0" w:color="2E6DA4"/>
              <w:bottom w:val="single" w:sz="4" w:space="0" w:color="2E6DA4"/>
              <w:right w:val="single" w:sz="4" w:space="0" w:color="2E6DA4"/>
            </w:tcBorders>
            <w:shd w:fill="D6E4F0" w:val="clear"/>
            <w:tcMar>
              <w:bottom w:w="120" w:type="dxa"/>
            </w:tcMar>
          </w:tcPr>
          <w:p>
            <w:pPr>
              <w:pStyle w:val="normal1"/>
              <w:spacing w:lineRule="auto" w:line="240" w:before="80" w:after="80"/>
              <w:rPr/>
            </w:pPr>
            <w:r>
              <w:rPr>
                <w:rFonts w:eastAsia="Arial" w:cs="Arial"/>
                <w:color w:val="1A1A1A"/>
                <w:sz w:val="20"/>
                <w:szCs w:val="20"/>
              </w:rPr>
              <w:t>Registered Users: 100,000+ retail investor accounts</w:t>
            </w:r>
          </w:p>
          <w:p>
            <w:pPr>
              <w:pStyle w:val="normal1"/>
              <w:spacing w:lineRule="auto" w:line="240" w:before="80" w:after="80"/>
              <w:rPr/>
            </w:pPr>
            <w:r>
              <w:rPr>
                <w:rFonts w:eastAsia="Arial" w:cs="Arial"/>
                <w:color w:val="1A1A1A"/>
                <w:sz w:val="20"/>
                <w:szCs w:val="20"/>
              </w:rPr>
              <w:t>Education Completions: 50,000+ module completions annually</w:t>
            </w:r>
          </w:p>
          <w:p>
            <w:pPr>
              <w:pStyle w:val="normal1"/>
              <w:spacing w:lineRule="auto" w:line="240" w:before="80" w:after="80"/>
              <w:rPr/>
            </w:pPr>
            <w:r>
              <w:rPr>
                <w:rFonts w:eastAsia="Arial" w:cs="Arial"/>
                <w:color w:val="1A1A1A"/>
                <w:sz w:val="20"/>
                <w:szCs w:val="20"/>
              </w:rPr>
              <w:t>AI Interactions: 500,000+ investor queries processed</w:t>
            </w:r>
          </w:p>
          <w:p>
            <w:pPr>
              <w:pStyle w:val="normal1"/>
              <w:spacing w:lineRule="auto" w:line="240" w:before="80" w:after="80"/>
              <w:rPr/>
            </w:pPr>
            <w:r>
              <w:rPr>
                <w:rFonts w:eastAsia="Arial" w:cs="Arial"/>
                <w:color w:val="1A1A1A"/>
                <w:sz w:val="20"/>
                <w:szCs w:val="20"/>
              </w:rPr>
              <w:t>Market Participation: 15% increase in USE retail account openings</w:t>
            </w:r>
          </w:p>
          <w:p>
            <w:pPr>
              <w:pStyle w:val="normal1"/>
              <w:spacing w:lineRule="auto" w:line="240" w:before="80" w:after="80"/>
              <w:rPr/>
            </w:pPr>
            <w:r>
              <w:rPr>
                <w:rFonts w:eastAsia="Arial" w:cs="Arial"/>
                <w:color w:val="1A1A1A"/>
                <w:sz w:val="20"/>
                <w:szCs w:val="20"/>
              </w:rPr>
              <w:t>Youth Investors: 40% of new users aged 18–30</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7. SUSTAINABILITY FRAMEWORK</w:t>
      </w:r>
    </w:p>
    <w:p>
      <w:pPr>
        <w:pStyle w:val="Heading2"/>
        <w:spacing w:lineRule="auto" w:line="240" w:before="280" w:after="120"/>
        <w:rPr/>
      </w:pPr>
      <w:r>
        <w:rPr>
          <w:rFonts w:eastAsia="Arial" w:cs="Arial"/>
          <w:b/>
          <w:bCs/>
          <w:color w:val="2E6DA4"/>
          <w:sz w:val="28"/>
          <w:szCs w:val="28"/>
        </w:rPr>
        <w:t>7.1 Financial Sustainability</w:t>
      </w:r>
    </w:p>
    <w:p>
      <w:pPr>
        <w:pStyle w:val="normal1"/>
        <w:spacing w:lineRule="auto" w:line="240" w:before="80" w:after="120"/>
        <w:jc w:val="left"/>
        <w:rPr/>
      </w:pPr>
      <w:r>
        <w:rPr>
          <w:color w:val="1A1A1A"/>
        </w:rPr>
        <w:t>Vestora</w:t>
      </w:r>
      <w:r>
        <w:rPr>
          <w:rFonts w:eastAsia="Arial" w:cs="Arial"/>
          <w:color w:val="1A1A1A"/>
          <w:sz w:val="22"/>
          <w:szCs w:val="22"/>
        </w:rPr>
        <w:t xml:space="preserve"> is designed to achieve financial self-sufficiency through a diversified revenue model. The platform does not depend on a single revenue stream, reducing vulnerability to any single funding source:</w:t>
      </w:r>
    </w:p>
    <w:p>
      <w:pPr>
        <w:pStyle w:val="normal1"/>
        <w:spacing w:lineRule="auto" w:line="240" w:before="120" w:after="0"/>
        <w:rPr/>
      </w:pPr>
      <w:r>
        <w:rPr/>
      </w:r>
    </w:p>
    <w:tbl>
      <w:tblPr>
        <w:tblStyle w:val="Table9"/>
        <w:tblW w:w="9360" w:type="dxa"/>
        <w:jc w:val="left"/>
        <w:tblInd w:w="0" w:type="dxa"/>
        <w:tblLayout w:type="fixed"/>
        <w:tblCellMar>
          <w:top w:w="100" w:type="dxa"/>
          <w:left w:w="120" w:type="dxa"/>
          <w:bottom w:w="100" w:type="dxa"/>
          <w:right w:w="120" w:type="dxa"/>
        </w:tblCellMar>
        <w:tblLook w:val="0000"/>
      </w:tblPr>
      <w:tblGrid>
        <w:gridCol w:w="3120"/>
        <w:gridCol w:w="3120"/>
        <w:gridCol w:w="3120"/>
      </w:tblGrid>
      <w:tr>
        <w:trPr>
          <w:tblHeader w:val="true"/>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Revenue Stream</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Description</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Potential</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Institutional Partnerships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Fee arrangements with USE, CMA, and listed companies for sponsored content, analytics, and data services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Premium Analytics (B2C)</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Premium subscription tier offering advanced analytics, detailed company reports, and AI-powered investment insights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Medium-High</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Broker Integrations (B2B)</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API access fees for licensed brokers integrating USE Insight data into their platforms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API Subscriptions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Data API access for fintech developers, researchers, and financial institutions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Government Programs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Alignment with financial inclusion and digital economy government initiatives for grant or co-funding</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Medium</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Fintech Collaborations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Revenue sharing with mobile money platforms, banks, and insurance companies for integrated financial services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Medium-High</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7.2 Operational Sustainability</w:t>
      </w:r>
    </w:p>
    <w:p>
      <w:pPr>
        <w:pStyle w:val="normal1"/>
        <w:spacing w:lineRule="auto" w:line="240" w:before="80" w:after="120"/>
        <w:jc w:val="left"/>
        <w:rPr/>
      </w:pPr>
      <w:r>
        <w:rPr>
          <w:rFonts w:eastAsia="Arial" w:cs="Arial"/>
          <w:color w:val="1A1A1A"/>
          <w:sz w:val="22"/>
          <w:szCs w:val="22"/>
        </w:rPr>
        <w:t>The platform is designed to scale efficiently. Cloud-based infrastructure, containerised deployment via Docker, and API-first architecture ensure that operational costs grow proportionally with — rather than ahead of — user adoption. The use of open-source frameworks (FastAPI, PostgreSQL, React) minimises licensing costs while maintaining enterprise-grade performance.</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7.3 Institutional Sustainability</w:t>
      </w:r>
    </w:p>
    <w:p>
      <w:pPr>
        <w:pStyle w:val="normal1"/>
        <w:spacing w:lineRule="auto" w:line="240" w:before="80" w:after="120"/>
        <w:jc w:val="left"/>
        <w:rPr/>
      </w:pPr>
      <w:r>
        <w:rPr>
          <w:rFonts w:eastAsia="Arial" w:cs="Arial"/>
          <w:color w:val="1A1A1A"/>
          <w:sz w:val="22"/>
          <w:szCs w:val="22"/>
        </w:rPr>
        <w:t>Long-term institutional sustainability is achieved through strategic alignment with key stakeholders: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 Securities Exchange — natural institutional home and potential co-owner of the platform's data and insights infrastructure.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Capital Markets Authority (CMA) — regulatory alignment ensures platform longevity and compliance.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Ministry of Finance — alignment with financial inclusion and NDP III digital economy objectives.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 Communications Commission — support for low-bandwidth and USSD access initiatives.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University partnerships — integration into financial curricula creates sustainable user pipeline.</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8. FUTURE DEVELOPMENT ROADMAP</w:t>
      </w:r>
    </w:p>
    <w:p>
      <w:pPr>
        <w:pStyle w:val="Heading2"/>
        <w:spacing w:lineRule="auto" w:line="240" w:before="280" w:after="120"/>
        <w:rPr/>
      </w:pPr>
      <w:r>
        <w:rPr>
          <w:rFonts w:eastAsia="Arial" w:cs="Arial"/>
          <w:b/>
          <w:bCs/>
          <w:color w:val="2E6DA4"/>
          <w:sz w:val="28"/>
          <w:szCs w:val="28"/>
        </w:rPr>
        <w:t>8.1 Version 2.0 Enhancements</w:t>
      </w:r>
    </w:p>
    <w:p>
      <w:pPr>
        <w:pStyle w:val="normal1"/>
        <w:spacing w:lineRule="auto" w:line="240" w:before="80" w:after="120"/>
        <w:jc w:val="left"/>
        <w:rPr/>
      </w:pPr>
      <w:r>
        <w:rPr>
          <w:rFonts w:eastAsia="Arial" w:cs="Arial"/>
          <w:color w:val="1A1A1A"/>
          <w:sz w:val="22"/>
          <w:szCs w:val="22"/>
        </w:rPr>
        <w:t xml:space="preserve">Following successful MVP launch and initial user validation, </w:t>
      </w:r>
      <w:r>
        <w:rPr>
          <w:color w:val="1A1A1A"/>
        </w:rPr>
        <w:t>Vestora</w:t>
      </w:r>
      <w:r>
        <w:rPr>
          <w:rFonts w:eastAsia="Arial" w:cs="Arial"/>
          <w:color w:val="1A1A1A"/>
          <w:sz w:val="22"/>
          <w:szCs w:val="22"/>
        </w:rPr>
        <w:t xml:space="preserve"> v2.0 will introduce:</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Native mobile applications — dedicated Android and iOS applications for enhanced mobile experience.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USSD access layer — feature phone integration to reach non-smartphone users across rural Uganda.</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Live broker integration — direct connection to licensed USE brokers enabling in-platform account opening and order placement enquiries.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Sentiment analysis — AI-powered analysis of news, social media, and public discourse to generate market sentiment indicators.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Multilingual support — Luganda and other local language interfaces to serve Uganda's linguistic diversity.</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8.2 Version 3.0 Vision</w:t>
      </w:r>
    </w:p>
    <w:p>
      <w:pPr>
        <w:pStyle w:val="normal1"/>
        <w:spacing w:lineRule="auto" w:line="240" w:before="80" w:after="120"/>
        <w:jc w:val="left"/>
        <w:rPr/>
      </w:pPr>
      <w:r>
        <w:rPr>
          <w:rFonts w:eastAsia="Arial" w:cs="Arial"/>
          <w:color w:val="1A1A1A"/>
          <w:sz w:val="22"/>
          <w:szCs w:val="22"/>
        </w:rPr>
        <w:t>The long-term vision for</w:t>
      </w:r>
      <w:r>
        <w:rPr>
          <w:color w:val="1A1A1A"/>
        </w:rPr>
        <w:t xml:space="preserve"> Vestora</w:t>
      </w:r>
      <w:r>
        <w:rPr>
          <w:rFonts w:eastAsia="Arial" w:cs="Arial"/>
          <w:color w:val="1A1A1A"/>
          <w:sz w:val="22"/>
          <w:szCs w:val="22"/>
        </w:rPr>
        <w:t xml:space="preserve"> extends Uganda's borders and ambition:</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East African market integration — expansion to include NSE (Kenya), DSE (Tanzania), RSE (Rwanda), and other EAC securities exchanges.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AI investment intelligence — personalised AI-generated investment insights and scenario modelling tools.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Predictive analytics — machine learning models for trend prediction and market signal identification.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Community features — investor forums, discussion boards, and peer learning communities.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Regulatory technology (RegTech) — compliance tools for retail investors navigating CMA reporting requirements.</w:t>
      </w:r>
    </w:p>
    <w:p>
      <w:pPr>
        <w:pStyle w:val="normal1"/>
        <w:spacing w:lineRule="auto" w:line="240" w:before="120" w:after="0"/>
        <w:rPr/>
      </w:pPr>
      <w:r>
        <w:rPr/>
      </w:r>
    </w:p>
    <w:tbl>
      <w:tblPr>
        <w:tblStyle w:val="Table10"/>
        <w:tblW w:w="9360" w:type="dxa"/>
        <w:jc w:val="left"/>
        <w:tblInd w:w="0" w:type="dxa"/>
        <w:tblLayout w:type="fixed"/>
        <w:tblCellMar>
          <w:top w:w="100" w:type="dxa"/>
          <w:left w:w="120" w:type="dxa"/>
          <w:bottom w:w="100" w:type="dxa"/>
          <w:right w:w="120" w:type="dxa"/>
        </w:tblCellMar>
        <w:tblLook w:val="0000"/>
      </w:tblPr>
      <w:tblGrid>
        <w:gridCol w:w="2340"/>
        <w:gridCol w:w="3510"/>
        <w:gridCol w:w="3510"/>
      </w:tblGrid>
      <w:tr>
        <w:trPr>
          <w:tblHeader w:val="true"/>
        </w:trPr>
        <w:tc>
          <w:tcPr>
            <w:tcW w:w="234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Horizon</w:t>
            </w:r>
          </w:p>
        </w:tc>
        <w:tc>
          <w:tcPr>
            <w:tcW w:w="351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Focus</w:t>
            </w:r>
          </w:p>
        </w:tc>
        <w:tc>
          <w:tcPr>
            <w:tcW w:w="351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Key Milestones</w:t>
            </w:r>
          </w:p>
        </w:tc>
      </w:tr>
      <w:tr>
        <w:trPr/>
        <w:tc>
          <w:tcPr>
            <w:tcW w:w="234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0–6 Months</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MVP Launch</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Core platform live, first 10,000 users, AI assistant operational</w:t>
            </w:r>
          </w:p>
        </w:tc>
      </w:tr>
      <w:tr>
        <w:trPr/>
        <w:tc>
          <w:tcPr>
            <w:tcW w:w="234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6–18 Months</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Growth &amp; Optimisation</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Mobile apps, broker integrations, 50,000 users, premium tier launch</w:t>
            </w:r>
          </w:p>
        </w:tc>
      </w:tr>
      <w:tr>
        <w:trPr/>
        <w:tc>
          <w:tcPr>
            <w:tcW w:w="234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18–36 Months</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Scale &amp; Expand</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USSD access, regional integration, 100,000+ users, institutional partnerships</w:t>
            </w:r>
          </w:p>
        </w:tc>
      </w:tr>
      <w:tr>
        <w:trPr/>
        <w:tc>
          <w:tcPr>
            <w:tcW w:w="234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36+ Months</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Regional Leadership</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East African market integration, AI investment intelligence, fintech ecosystem hub</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9. CONCLUSION &amp; CALL TO ACTION</w:t>
      </w:r>
    </w:p>
    <w:p>
      <w:pPr>
        <w:pStyle w:val="Heading2"/>
        <w:spacing w:lineRule="auto" w:line="240" w:before="280" w:after="120"/>
        <w:rPr/>
      </w:pPr>
      <w:r>
        <w:rPr>
          <w:rFonts w:eastAsia="Arial" w:cs="Arial"/>
          <w:b/>
          <w:bCs/>
          <w:color w:val="2E6DA4"/>
          <w:sz w:val="28"/>
          <w:szCs w:val="28"/>
        </w:rPr>
        <w:t>9.1 Summary</w:t>
      </w:r>
    </w:p>
    <w:p>
      <w:pPr>
        <w:pStyle w:val="normal1"/>
        <w:spacing w:lineRule="auto" w:line="240" w:before="80" w:after="120"/>
        <w:jc w:val="left"/>
        <w:rPr/>
      </w:pPr>
      <w:r>
        <w:rPr>
          <w:color w:val="1A1A1A"/>
        </w:rPr>
        <w:t xml:space="preserve">Vestora </w:t>
      </w:r>
      <w:r>
        <w:rPr>
          <w:rFonts w:eastAsia="Arial" w:cs="Arial"/>
          <w:color w:val="1A1A1A"/>
          <w:sz w:val="22"/>
          <w:szCs w:val="22"/>
        </w:rPr>
        <w:t>represents a rare convergence of technological readiness, policy alignment, and market need. Uganda's capital markets have the infrastructure. Its citizens have the devices. What has been missing is the intelligent bridge between the two.</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platform proposes to build that bridge — thoughtfully, securely, and in service of every Ugandan who deserves a stake in their country's economic growth.</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By combining artificial intelligence, mobile-first design, financial education, and real-time market intelligence, USE Insight creates a new paradigm for retail investor engagement — one that is rooted in Uganda's context, responsive to Uganda's needs, and scalable across Uganda's future.</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i/>
          <w:iCs/>
          <w:color w:val="1A3557"/>
        </w:rPr>
        <w:t>Vestora</w:t>
      </w:r>
      <w:r>
        <w:rPr>
          <w:rFonts w:eastAsia="Arial" w:cs="Arial"/>
          <w:i/>
          <w:iCs/>
          <w:color w:val="1A3557"/>
          <w:sz w:val="22"/>
          <w:szCs w:val="22"/>
        </w:rPr>
        <w:t xml:space="preserve"> is not simply a technology project. It is a financial inclusion initiative, a youth empowerment strategy, and a demonstration of Uganda's capacity to build world-class fintech solutions domestically.</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9.2 Government Support Requested</w:t>
      </w:r>
    </w:p>
    <w:p>
      <w:pPr>
        <w:pStyle w:val="normal1"/>
        <w:spacing w:lineRule="auto" w:line="240" w:before="80" w:after="120"/>
        <w:jc w:val="left"/>
        <w:rPr/>
      </w:pPr>
      <w:r>
        <w:rPr>
          <w:rFonts w:eastAsia="Arial" w:cs="Arial"/>
          <w:color w:val="1A1A1A"/>
          <w:sz w:val="22"/>
          <w:szCs w:val="22"/>
        </w:rPr>
        <w:t xml:space="preserve">To realise the full potential of </w:t>
      </w:r>
      <w:r>
        <w:rPr>
          <w:color w:val="1A1A1A"/>
        </w:rPr>
        <w:t>Vestora</w:t>
      </w:r>
      <w:r>
        <w:rPr>
          <w:rFonts w:eastAsia="Arial" w:cs="Arial"/>
          <w:color w:val="1A1A1A"/>
          <w:sz w:val="22"/>
          <w:szCs w:val="22"/>
        </w:rPr>
        <w:t>, the development team respectfully requests the following from Government of Uganda stakeholders:</w:t>
      </w:r>
    </w:p>
    <w:p>
      <w:pPr>
        <w:pStyle w:val="normal1"/>
        <w:spacing w:lineRule="auto" w:line="240" w:before="120" w:after="0"/>
        <w:rPr/>
      </w:pPr>
      <w:r>
        <w:rPr/>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Policy Endorsement — formal recognition of USE Insight as a strategic financial inclusion and digital economy initiative aligned with NDP III objectives.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Regulatory Facilitation — support from the Capital Markets Authority in navigating regulatory requirements and ensuring compliance with securities laws.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Institutional Partnership — a formal memorandum of understanding with the Uganda Securities Exchange to access market data and collaborate on investor education content.</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Seed Funding Consideration — consideration for grant funding or concessional financing through government innovation programs or development finance partners.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Public Promotion — support in promoting the platform through government financial literacy campaigns and communication channels.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9.3 Closing Statement</w:t>
      </w:r>
    </w:p>
    <w:p>
      <w:pPr>
        <w:pStyle w:val="normal1"/>
        <w:spacing w:lineRule="auto" w:line="240" w:before="80" w:after="120"/>
        <w:jc w:val="left"/>
        <w:rPr/>
      </w:pPr>
      <w:r>
        <w:rPr>
          <w:rFonts w:eastAsia="Arial" w:cs="Arial"/>
          <w:color w:val="1A1A1A"/>
          <w:sz w:val="22"/>
          <w:szCs w:val="22"/>
        </w:rPr>
        <w:t>The Government of Uganda has consistently demonstrated its commitment to digital transformation, financial inclusion, and youth empowerment. USE Insight aligns with each of these priorities — and goes further by delivering a practical, measurable, and scalable mechanism through which they intersect.</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We invite the Government, the Uganda Securities Exchange, and all relevant stakeholders to partner in building a capital market that works for every Ugandan — not just the few who already know how to navigate it.</w:t>
      </w:r>
    </w:p>
    <w:p>
      <w:pPr>
        <w:pStyle w:val="normal1"/>
        <w:spacing w:lineRule="auto" w:line="240" w:before="120" w:after="0"/>
        <w:rPr/>
      </w:pPr>
      <w:r>
        <w:rPr/>
      </w:r>
    </w:p>
    <w:tbl>
      <w:tblPr>
        <w:tblStyle w:val="Table11"/>
        <w:tblW w:w="9360" w:type="dxa"/>
        <w:jc w:val="left"/>
        <w:tblInd w:w="0" w:type="dxa"/>
        <w:tblLayout w:type="fixed"/>
        <w:tblCellMar>
          <w:top w:w="200" w:type="dxa"/>
          <w:left w:w="300" w:type="dxa"/>
          <w:bottom w:w="200" w:type="dxa"/>
          <w:right w:w="300" w:type="dxa"/>
        </w:tblCellMar>
        <w:tblLook w:val="0000"/>
      </w:tblPr>
      <w:tblGrid>
        <w:gridCol w:w="9360"/>
      </w:tblGrid>
      <w:tr>
        <w:trPr/>
        <w:tc>
          <w:tcPr>
            <w:tcW w:w="9360" w:type="dxa"/>
            <w:tcBorders>
              <w:top w:val="single" w:sz="4" w:space="0" w:color="C8960C"/>
              <w:left w:val="single" w:sz="4" w:space="0" w:color="C8960C"/>
              <w:bottom w:val="single" w:sz="4" w:space="0" w:color="C8960C"/>
              <w:right w:val="single" w:sz="4" w:space="0" w:color="C8960C"/>
            </w:tcBorders>
            <w:shd w:fill="FFF8E7" w:val="clear"/>
          </w:tcPr>
          <w:p>
            <w:pPr>
              <w:pStyle w:val="normal1"/>
              <w:spacing w:lineRule="auto" w:line="240" w:before="80" w:after="80"/>
              <w:jc w:val="center"/>
              <w:rPr/>
            </w:pPr>
            <w:r>
              <w:rPr>
                <w:rFonts w:eastAsia="Arial" w:cs="Arial"/>
                <w:b/>
                <w:bCs/>
                <w:i/>
                <w:iCs/>
                <w:color w:val="1A3557"/>
                <w:sz w:val="28"/>
                <w:szCs w:val="28"/>
              </w:rPr>
              <w:t>"Democratizing Access to Uganda's Capital Markets</w:t>
            </w:r>
          </w:p>
          <w:p>
            <w:pPr>
              <w:pStyle w:val="normal1"/>
              <w:spacing w:lineRule="auto" w:line="240" w:before="80" w:after="80"/>
              <w:jc w:val="center"/>
              <w:rPr/>
            </w:pPr>
            <w:r>
              <w:rPr>
                <w:rFonts w:eastAsia="Arial" w:cs="Arial"/>
                <w:b/>
                <w:bCs/>
                <w:i/>
                <w:iCs/>
                <w:color w:val="1A3557"/>
                <w:sz w:val="28"/>
                <w:szCs w:val="28"/>
              </w:rPr>
              <w:t>Through Intelligent Financial Technology"</w:t>
            </w:r>
          </w:p>
          <w:p>
            <w:pPr>
              <w:pStyle w:val="normal1"/>
              <w:spacing w:lineRule="auto" w:line="240" w:before="120" w:after="0"/>
              <w:jc w:val="center"/>
              <w:rPr/>
            </w:pPr>
            <w:r>
              <w:rPr>
                <w:rFonts w:eastAsia="Arial" w:cs="Arial"/>
                <w:color w:val="888888"/>
                <w:sz w:val="20"/>
                <w:szCs w:val="20"/>
              </w:rPr>
              <w:t xml:space="preserve">— </w:t>
            </w:r>
            <w:r>
              <w:rPr>
                <w:color w:val="888888"/>
                <w:sz w:val="20"/>
                <w:szCs w:val="20"/>
              </w:rPr>
              <w:t>Vestora</w:t>
            </w:r>
            <w:r>
              <w:rPr>
                <w:rFonts w:eastAsia="Arial" w:cs="Arial"/>
                <w:color w:val="888888"/>
                <w:sz w:val="20"/>
                <w:szCs w:val="20"/>
              </w:rPr>
              <w:t>, May 2026</w:t>
            </w:r>
          </w:p>
        </w:tc>
      </w:tr>
    </w:tbl>
    <w:p>
      <w:pPr>
        <w:pStyle w:val="normal1"/>
        <w:keepNext w:val="false"/>
        <w:keepLines w:val="false"/>
        <w:pageBreakBefore w:val="false"/>
        <w:widowControl w:val="false"/>
        <w:pBdr/>
        <w:shd w:val="clear" w:fill="auto"/>
        <w:spacing w:lineRule="auto" w:line="276" w:before="0" w:after="0"/>
        <w:ind w:hanging="0" w:left="0" w:right="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Symbol">
    <w:charset w:val="02"/>
    <w:family w:val="auto"/>
    <w:pitch w:val="default"/>
  </w:font>
  <w:font w:name="OpenSymbol">
    <w:altName w:val="Arial Unicode MS"/>
    <w:charset w:val="02"/>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2E6DA4"/>
      </w:pBdr>
      <w:tabs>
        <w:tab w:val="clear" w:pos="720"/>
        <w:tab w:val="right" w:pos="9026" w:leader="none"/>
      </w:tabs>
      <w:rPr/>
    </w:pPr>
    <w:r>
      <w:rPr>
        <w:rFonts w:eastAsia="Arial" w:cs="Arial"/>
        <w:color w:val="888888"/>
        <w:sz w:val="16"/>
        <w:szCs w:val="16"/>
      </w:rPr>
      <w:t>Confidential — Government of Uganda, May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2E6DA4"/>
      </w:pBdr>
      <w:tabs>
        <w:tab w:val="clear" w:pos="720"/>
        <w:tab w:val="right" w:pos="9026" w:leader="none"/>
      </w:tabs>
      <w:rPr/>
    </w:pPr>
    <w:r>
      <w:rPr>
        <w:rFonts w:eastAsia="Arial" w:cs="Arial"/>
        <w:color w:val="888888"/>
        <w:sz w:val="16"/>
        <w:szCs w:val="16"/>
      </w:rPr>
      <w:t>Confidential — Government of Uganda, May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2E6DA4"/>
      </w:pBdr>
      <w:rPr/>
    </w:pPr>
    <w:r>
      <w:rPr>
        <w:rFonts w:eastAsia="Arial" w:cs="Arial"/>
        <w:b/>
        <w:bCs/>
        <w:color w:val="1A3557"/>
        <w:sz w:val="18"/>
        <w:szCs w:val="18"/>
      </w:rPr>
      <w:t>USE INSIGHT</w:t>
    </w:r>
    <w:r>
      <w:rPr>
        <w:rFonts w:eastAsia="Arial" w:cs="Arial"/>
        <w:color w:val="888888"/>
        <w:sz w:val="18"/>
        <w:szCs w:val="18"/>
      </w:rPr>
      <w:t xml:space="preserve">  |  Intelligent Retail Investor &amp; Market Access Platform for Uganda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2E6DA4"/>
      </w:pBdr>
      <w:rPr/>
    </w:pPr>
    <w:r>
      <w:rPr>
        <w:rFonts w:eastAsia="Arial" w:cs="Arial"/>
        <w:b/>
        <w:bCs/>
        <w:color w:val="1A3557"/>
        <w:sz w:val="18"/>
        <w:szCs w:val="18"/>
      </w:rPr>
      <w:t>USE INSIGHT</w:t>
    </w:r>
    <w:r>
      <w:rPr>
        <w:rFonts w:eastAsia="Arial" w:cs="Arial"/>
        <w:color w:val="888888"/>
        <w:sz w:val="18"/>
        <w:szCs w:val="18"/>
      </w:rPr>
      <w:t xml:space="preserve">  |  Intelligent Retail Investor &amp; Market Access Platform for Uganda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60" w:after="160"/>
      <w:ind w:hanging="0" w:left="0" w:right="0"/>
      <w:jc w:val="left"/>
    </w:pPr>
    <w:rPr>
      <w:rFonts w:ascii="Arial" w:hAnsi="Arial" w:eastAsia="Arial" w:cs="Arial"/>
      <w:b/>
      <w:bCs/>
      <w:i w:val="false"/>
      <w:iCs w:val="false"/>
      <w:caps w:val="false"/>
      <w:smallCaps w:val="false"/>
      <w:strike w:val="false"/>
      <w:dstrike w:val="false"/>
      <w:color w:val="1A3557"/>
      <w:position w:val="0"/>
      <w:sz w:val="36"/>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80" w:after="120"/>
      <w:ind w:hanging="0" w:left="0" w:right="0"/>
      <w:jc w:val="left"/>
    </w:pPr>
    <w:rPr>
      <w:rFonts w:ascii="Arial" w:hAnsi="Arial" w:eastAsia="Arial" w:cs="Arial"/>
      <w:b/>
      <w:bCs/>
      <w:i w:val="false"/>
      <w:iCs w:val="false"/>
      <w:caps w:val="false"/>
      <w:smallCaps w:val="false"/>
      <w:strike w:val="false"/>
      <w:dstrike w:val="false"/>
      <w:color w:val="2E6DA4"/>
      <w:position w:val="0"/>
      <w:sz w:val="28"/>
      <w:sz w:val="28"/>
      <w:szCs w:val="28"/>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200" w:after="80"/>
      <w:ind w:hanging="0" w:left="0" w:right="0"/>
      <w:jc w:val="left"/>
    </w:pPr>
    <w:rPr>
      <w:rFonts w:ascii="Arial" w:hAnsi="Arial" w:eastAsia="Arial" w:cs="Arial"/>
      <w:b/>
      <w:bCs/>
      <w:i w:val="false"/>
      <w:iCs w:val="false"/>
      <w:caps w:val="false"/>
      <w:smallCaps w:val="false"/>
      <w:strike w:val="false"/>
      <w:dstrike w:val="false"/>
      <w:color w:val="1A3557"/>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LibreOffice/25.2.7.2$Linux_X86_64 LibreOffice_project/520$Build-2</Application>
  <AppVersion>15.0000</AppVersion>
  <Pages>21</Pages>
  <Words>3550</Words>
  <Characters>23325</Characters>
  <CharactersWithSpaces>26509</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2026-05-24T16:04:56Z</dcterms:modified>
  <cp:revision>1</cp:revision>
  <dc:subject/>
  <dc:title/>
</cp:coreProperties>
</file>