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6B19BF8D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AA87AC2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Droid Sans Fallback" w:hAnsi="Times New Roman" w:cs="FreeSans"/>
                <w:iCs/>
                <w:noProof/>
                <w:sz w:val="24"/>
                <w14:ligatures w14:val="none"/>
              </w:rPr>
              <w:drawing>
                <wp:inline distT="0" distB="0" distL="0" distR="0" wp14:anchorId="216ADF78" wp14:editId="011FA19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A4E47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ascii="Times New Roman" w:hAnsi="Times New Roman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DACB72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5D6622F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Droid Sans Fallback" w:hAnsi="Times New Roman" w:cs="FreeSans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ascii="Times New Roman" w:eastAsia="Droid Sans Fallback" w:hAnsi="Times New Roman" w:cs="FreeSans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ascii="Times New Roman" w:eastAsia="Droid Sans Fallback" w:hAnsi="Times New Roman" w:cs="FreeSans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" w:eastAsia="Droid Sans Fallback" w:hAnsi="Times New Roman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" w:eastAsia="Droid Sans Fallback" w:hAnsi="Times New Roman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" w:eastAsia="Droid Sans Fallback" w:hAnsi="Times New Roman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C817686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 w:ascii="Times New Roman" w:hAnsi="Times New Roman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Droid Sans Fallback" w:ascii="Times New Roman" w:hAnsi="Times New Roman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Droid Sans Fallback" w:ascii="Times New Roman" w:hAnsi="Times New Roman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5FBA0D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 w:ascii="Times New Roman" w:hAnsi="Times New Roman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1566F76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 w:ascii="Times New Roman" w:hAnsi="Times New Roman"/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Droid Sans Fallback" w:ascii="Times New Roman" w:hAnsi="Times New Roman"/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Droid Sans Fallback" w:ascii="Times New Roman" w:hAnsi="Times New Roman"/>
          <w:b/>
          <w:szCs w:val="28"/>
          <w:lang w:eastAsia="zh-CN" w:bidi="hi-IN"/>
          <w14:ligatures w14:val="none"/>
        </w:rPr>
        <w:t xml:space="preserve"> (</w:t>
      </w:r>
      <w:r>
        <w:rPr>
          <w:rFonts w:eastAsia="Droid Sans Fallback" w:ascii="Times New Roman" w:hAnsi="Times New Roman"/>
          <w:b/>
          <w:szCs w:val="28"/>
          <w:lang w:eastAsia="zh-CN" w:bidi="hi-IN"/>
          <w14:ligatures w14:val="none"/>
        </w:rPr>
        <w:t>ККИТПиПИ</w:t>
      </w:r>
      <w:r w:rsidRPr="00867FE9">
        <w:rPr>
          <w:rFonts w:eastAsia="Droid Sans Fallback" w:ascii="Times New Roman" w:hAnsi="Times New Roman"/>
          <w:b/>
          <w:szCs w:val="28"/>
          <w:lang w:eastAsia="zh-CN" w:bidi="hi-IN"/>
          <w14:ligatures w14:val="none"/>
        </w:rPr>
        <w:t>)</w:t>
      </w:r>
    </w:p>
    <w:p w14:paraId="5BFED86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5AC1061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A147BCC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 w:rsidRPr="00867FE9">
        <w:rPr>
          <w:rFonts w:eastAsia="Droid Sans Fallback" w:ascii="Times New Roman" w:hAnsi="Times New Roman"/>
          <w:b/>
          <w:color w:val="000000"/>
          <w:sz w:val="32"/>
          <w:lang w:eastAsia="zh-CN" w:bidi="hi-IN"/>
          <w14:ligatures w14:val="none"/>
        </w:rPr>
        <w:t>ОТЧЕТ ПО ПРАКТИЧЕСКОЙ РАБОТЕ</w:t>
      </w:r>
    </w:p>
    <w:p w14:paraId="3EDE2537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 w:ascii="Times New Roman" w:hAnsi="Times New Roman"/>
          <w:b w:val="0"/>
          <w:color w:val="000000"/>
          <w:sz w:val="28"/>
          <w:szCs w:val="28"/>
          <w:lang w:eastAsia="zh-CN" w:bidi="hi-IN"/>
          <w14:ligatures w14:val="none"/>
        </w:rPr>
        <w:t>по дисциплине «Управление ИТ-проектами»</w:t>
      </w:r>
      <w:r w:rsidRPr="00650B5D">
        <w:rPr>
          <w:rFonts w:eastAsia="Droid Sans Fallback" w:ascii="Times New Roman" w:hAnsi="Times New Roman"/>
          <w:b w:val="0"/>
          <w:color w:val="000000"/>
          <w:sz w:val="28"/>
          <w:szCs w:val="28"/>
          <w:lang w:eastAsia="zh-CN" w:bidi="hi-IN"/>
          <w14:ligatures w14:val="none"/>
        </w:rPr>
      </w:r>
      <w:r w:rsidRPr="00867FE9">
        <w:rPr>
          <w:rFonts w:eastAsia="Droid Sans Fallback" w:ascii="Times New Roman" w:hAnsi="Times New Roman"/>
          <w:b w:val="0"/>
          <w:color w:val="000000"/>
          <w:sz w:val="28"/>
          <w:szCs w:val="28"/>
          <w:lang w:eastAsia="zh-CN" w:bidi="hi-IN"/>
          <w14:ligatures w14:val="none"/>
        </w:rPr>
      </w:r>
    </w:p>
    <w:p w14:paraId="6B467C3B" w14:textId="77777777" w:rsidR="002A2FAC" w:rsidRPr="00867FE9" w:rsidRDefault="002A2FAC" w:rsidP="002A2FAC">
      <w:pPr>
        <w:widowControl w:val="0"/>
        <w:suppressAutoHyphens/>
        <w:spacing w:before="80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rFonts w:ascii="Times New Roman" w:hAnsi="Times New Roman"/>
          <w:b w:val="0"/>
          <w:color w:val="000000"/>
          <w:sz w:val="28"/>
        </w:rPr>
        <w:t>на тему «Разработка и маркетинг информационной системы моделирования процессов и программных систем OmniNotation»</w:t>
      </w:r>
    </w:p>
    <w:p w14:paraId="0A18C7B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3B18646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C791560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0B7E4D2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C35FE1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867FE9">
              <w:rPr>
                <w:rFonts w:ascii="Times New Roman" w:eastAsia="Droid Sans Fallback" w:hAnsi="Times New Roman"/>
                <w:color w:val="FFFFFF"/>
                <w:sz w:val="24"/>
                <w:szCs w:val="24"/>
                <w:lang w:eastAsia="zh-CN" w:bidi="hi-IN"/>
              </w:rPr>
            </w:r>
          </w:p>
          <w:p w14:paraId="4E614F5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62E4D33" w14:textId="3700B88C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395449A9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19AB1B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Droid Sans Fallback" w:hAnsi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56A05A5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721D4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9D2453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Преподаватель</w:t>
            </w:r>
          </w:p>
          <w:p w14:paraId="62B67BF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DBF826A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r>
            <w:r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r>
          </w:p>
          <w:p w14:paraId="06FAC666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D99D8C5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21DF3BA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021C119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Droid Sans Fallback" w:hAnsi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09DAD03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EE62744" w14:textId="77777777" w:rsidTr="00FC2A5B">
        <w:tc>
          <w:tcPr>
            <w:tcW w:w="2547" w:type="dxa"/>
          </w:tcPr>
          <w:p w14:paraId="76DA1B1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84DA73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15D70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5802CB64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7E4195E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521230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A4D719C" w14:textId="2CA860B9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pgSz w:w="11911" w:h="16841"/>
          <w:pgMar w:top="1134" w:right="850" w:bottom="1134" w:left="1701" w:header="720" w:footer="720" w:gutter="0"/>
          <w:cols w:space="720"/>
          <w:docGrid w:linePitch="381"/>
        </w:sectPr>
      </w:pPr>
      <w:r w:rsidRPr="00867FE9">
        <w:rPr>
          <w:rFonts w:ascii="Times New Roman" w:eastAsia="Droid Sans Fallback" w:hAnsi="Times New Roman"/>
          <w:sz w:val="24"/>
          <w:szCs w:val="28"/>
          <w:lang w:eastAsia="zh-CN" w:bidi="hi-IN"/>
          <w14:ligatures w14:val="none"/>
        </w:rPr>
        <w:t>Москва 2026 г.</w:t>
      </w:r>
    </w:p>
    <w:p>
      <w:pPr>
        <w:pStyle w:val="1"/>
      </w:pPr>
      <w:r>
        <w:t>Задание</w:t>
      </w:r>
    </w:p>
    <w:p>
      <w:pPr>
        <w:pStyle w:val="Основнойтекстотчёта"/>
      </w:pPr>
      <w:r>
        <w:t>Разработать план проекта по созданию и продвижению информационной системы моделирования процессов и программных систем OmniNotation. Представить цель, задачи, результаты и границы проекта, иерархическую структуру работ, календарный план минимум из 30 операций, оценку ресурсов и стоимости, диаграмму Ганта, зависимости, критическую последовательность и загрузку исполнителей.</w:t>
      </w:r>
    </w:p>
    <w:p>
      <w:pPr>
        <w:pStyle w:val="Основнойтекстотчёта"/>
      </w:pPr>
      <w:r>
        <w:t>Исходная дата старта — 1 ноября 2026 года. Поскольку это воскресенье, первая операция запланирована на понедельник 2 ноября. В расчётах принят пятидневный рабочий календарь без учёта государственных праздников. Все сроки, ставки и показатели пилота являются учебными плановыми оценками.</w:t>
      </w:r>
    </w:p>
    <w:p>
      <w:pPr>
        <w:pStyle w:val="1"/>
      </w:pPr>
      <w:r>
        <w:t>1 Паспорт проекта</w:t>
      </w:r>
    </w:p>
    <w:p>
      <w:pPr>
        <w:pStyle w:val="Heading2"/>
      </w:pPr>
      <w:r>
        <w:t>1.1 Цель и задачи</w:t>
      </w:r>
    </w:p>
    <w:p>
      <w:pPr>
        <w:pStyle w:val="Основнойтекстотчёта"/>
      </w:pPr>
      <w:r>
        <w:t>Цель проекта — развить существующий прототип OmniNotation до устойчивого настольного продукта для моделирования процессов и программных систем и проверить интерес первых пользователей. Проект объединяет разработку редактора, подготовку выпускной сборки и проверку маркетинговой гипотезы.</w:t>
      </w:r>
    </w:p>
    <w:p>
      <w:pPr>
        <w:pStyle w:val="Основнойтекстотчёта"/>
      </w:pPr>
      <w:r>
        <w:t>• Изучить целевые группы, сценарии использования и альтернативные решения.</w:t>
      </w:r>
    </w:p>
    <w:p>
      <w:pPr>
        <w:pStyle w:val="Основнойтекстотчёта"/>
      </w:pPr>
      <w:r>
        <w:t>• Уточнить требования и критерии приёмки для DFD, IDEF0, BPMN и UML.</w:t>
      </w:r>
    </w:p>
    <w:p>
      <w:pPr>
        <w:pStyle w:val="Основнойтекстотчёта"/>
      </w:pPr>
      <w:r>
        <w:t>• Доработать визуальное и текстовое редактирование, сохранение и экспорт.</w:t>
      </w:r>
    </w:p>
    <w:p>
      <w:pPr>
        <w:pStyle w:val="Основнойтекстотчёта"/>
      </w:pPr>
      <w:r>
        <w:t>• Подготовить примеры, документацию и кандидат выпуска.</w:t>
      </w:r>
    </w:p>
    <w:p>
      <w:pPr>
        <w:pStyle w:val="Основнойтекстотчёта"/>
      </w:pPr>
      <w:r>
        <w:t>• Провести пилот, собрать обратную связь и предложить план запуска.</w:t>
      </w:r>
    </w:p>
    <w:p>
      <w:pPr>
        <w:pStyle w:val="Heading2"/>
      </w:pPr>
      <w:r>
        <w:t>1.2 Результаты и границы</w:t>
      </w:r>
    </w:p>
    <w:p>
      <w:pPr>
        <w:pStyle w:val="Основнойтекстотчёта"/>
      </w:pPr>
      <w:r>
        <w:t>Планируемые результаты: кандидат выпуска настольного приложения, набор примеров диаграмм, руководство пользователя, демонстрационная страница и результаты пилотной проверки. Целевые показатели пилота — 20 участников, не менее 10 качественных интервью и завершение базового сценария построения диаграммы без помощи не менее чем 70 % участников. Эти показатели задают критерии оценки будущего результата; фактические значения пока отсутствуют.</w:t>
      </w:r>
    </w:p>
    <w:p>
      <w:pPr>
        <w:pStyle w:val="Основнойтекстотчёта"/>
      </w:pPr>
      <w:r>
        <w:t>В проект входят собственный формат .omni, общий текстовый язык, визуальное редактирование выбранных профилей DFD, IDEF0, BPMN и UML, синхронизация представлений и экспорт результата. Полное покрытие стандартов, выполнение BPMN-процессов, облачная совместная работа и импорт сторонних языков в оценку не включены. XML не предполагается использовать как формат диаграмм проекта.</w:t>
      </w:r>
    </w:p>
    <w:p>
      <w:pPr>
        <w:pStyle w:val="Heading2"/>
      </w:pPr>
      <w:r>
        <w:t>1.3 Технологии</w:t>
      </w:r>
    </w:p>
    <w:p>
      <w:pPr>
        <w:pStyle w:val="Основнойтекстотчёта"/>
      </w:pPr>
      <w:r>
        <w:t>Технической основой служит существующая кодовая база OmniNotation на TypeScript, Electron, React, React Flow, Monaco и Langium. План предусматривает общий хост редактора, реестр адаптеров нотаций и собственный контейнер .omni для хранения моделей. Отдельные работы посвящены сборкам, руководству и демонстрационным материалам.</w:t>
      </w:r>
    </w:p>
    <w:p>
      <w:pPr>
        <w:pStyle w:val="1"/>
      </w:pPr>
      <w:r>
        <w:t>2 Иерархическая структура и календарный план</w:t>
      </w:r>
    </w:p>
    <w:p>
      <w:pPr>
        <w:pStyle w:val="Heading2"/>
      </w:pPr>
      <w:r>
        <w:t>2.1 Декомпозиция работ</w:t>
      </w:r>
    </w:p>
    <w:p>
      <w:pPr>
        <w:pStyle w:val="Основнойтекстотчёта"/>
      </w:pPr>
      <w:r>
        <w:t>Иерархическая структура работ содержит шесть этапов, перечисленных в таблице 1. Коды в приложении А раскрывают каждое направление до третьего уровня: например, 4.2.4 обозначает интеграцию и исправление дефектов в подэтапе 4.2. Нулевой уровень длительности отведён трём контрольным вехам.</w:t>
      </w:r>
    </w:p>
    <w:p>
      <w:pPr>
        <w:pStyle w:val="Подписьтаблицы"/>
        <w:keepNext/>
      </w:pPr>
      <w:r>
        <w:t>Таблица 1 – Иерархическая структура работ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891"/>
        <w:gridCol w:w="5669"/>
      </w:tblGrid>
      <w:tr>
        <w:trPr>
          <w:tblHeader/>
          <w:cantSplit/>
        </w:trPr>
        <w:tc>
          <w:tcPr>
            <w:tcW w:type="dxa" w:w="79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№</w:t>
            </w:r>
          </w:p>
        </w:tc>
        <w:tc>
          <w:tcPr>
            <w:tcW w:type="dxa" w:w="289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Этап</w:t>
            </w:r>
          </w:p>
        </w:tc>
        <w:tc>
          <w:tcPr>
            <w:tcW w:type="dxa" w:w="566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Подэтапы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89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Концепция и аудитория</w:t>
            </w:r>
          </w:p>
        </w:tc>
        <w:tc>
          <w:tcPr>
            <w:tcW w:type="dxa" w:w="566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1.1 Старт и исследование; 1.2 Позиционирование и концепция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289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Требования и дизайн</w:t>
            </w:r>
          </w:p>
        </w:tc>
        <w:tc>
          <w:tcPr>
            <w:tcW w:type="dxa" w:w="566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2.1 Сценарии и требования; 2.2 Интерфейс и бэклог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289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Общая платформа</w:t>
            </w:r>
          </w:p>
        </w:tc>
        <w:tc>
          <w:tcPr>
            <w:tcW w:type="dxa" w:w="566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3.1 Архитектура и язык; 3.2 Редактор, сохранение и экспорт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289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Нотации и синхронизация</w:t>
            </w:r>
          </w:p>
        </w:tc>
        <w:tc>
          <w:tcPr>
            <w:tcW w:type="dxa" w:w="566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4.1 DFD, IDEF0 и BPMN; 4.2 UML, примеры и интеграция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289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Приёмка и выпуск</w:t>
            </w:r>
          </w:p>
        </w:tc>
        <w:tc>
          <w:tcPr>
            <w:tcW w:type="dxa" w:w="566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5.1 Проверка; 5.2 Выпуск и руководство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289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Маркетинг и пилот</w:t>
            </w:r>
          </w:p>
        </w:tc>
        <w:tc>
          <w:tcPr>
            <w:tcW w:type="dxa" w:w="566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6.1 Предложение и материалы; 6.2 Пилот и план запуска</w:t>
            </w:r>
          </w:p>
        </w:tc>
      </w:tr>
    </w:tbl>
    <w:p>
      <w:pPr>
        <w:spacing w:after="0"/>
      </w:pPr>
    </w:p>
    <w:p>
      <w:pPr>
        <w:pStyle w:val="Heading2"/>
      </w:pPr>
      <w:r>
        <w:t>2.2 Сроки и вехи</w:t>
      </w:r>
    </w:p>
    <w:p>
      <w:pPr>
        <w:pStyle w:val="Основнойтекстотчёта"/>
      </w:pPr>
      <w:r>
        <w:t>Календарный план включает 36 операций и три вехи. Работы частично выполняются параллельно. Последняя операция и защита плана назначены на 30 июня 2027 года. Сводные сроки показаны в таблице 2. Полный перечень операций, дат, длительностей, исполнителей, трудозатрат и связей приведён в приложении А; диаграммы Ганта — в приложении Б.</w:t>
      </w:r>
    </w:p>
    <w:p>
      <w:pPr>
        <w:pStyle w:val="Подписьтаблицы"/>
        <w:keepNext/>
      </w:pPr>
      <w:r>
        <w:t>Таблица 2 – Сводный календарный план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1531"/>
        <w:gridCol w:w="1531"/>
        <w:gridCol w:w="1020"/>
        <w:gridCol w:w="1644"/>
      </w:tblGrid>
      <w:tr>
        <w:trPr>
          <w:tblHeader/>
          <w:cantSplit/>
        </w:trPr>
        <w:tc>
          <w:tcPr>
            <w:tcW w:type="dxa" w:w="3628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Этап</w:t>
            </w:r>
          </w:p>
        </w:tc>
        <w:tc>
          <w:tcPr>
            <w:tcW w:type="dxa" w:w="153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Начало</w:t>
            </w:r>
          </w:p>
        </w:tc>
        <w:tc>
          <w:tcPr>
            <w:tcW w:type="dxa" w:w="153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Конец</w:t>
            </w:r>
          </w:p>
        </w:tc>
        <w:tc>
          <w:tcPr>
            <w:tcW w:type="dxa" w:w="102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Опер.</w:t>
            </w:r>
          </w:p>
        </w:tc>
        <w:tc>
          <w:tcPr>
            <w:tcW w:type="dxa" w:w="164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Труд, чел.-дн.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Концепция и аудитория</w:t>
            </w:r>
          </w:p>
        </w:tc>
        <w:tc>
          <w:tcPr>
            <w:tcW w:type="dxa" w:w="153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02.11.26</w:t>
            </w:r>
          </w:p>
        </w:tc>
        <w:tc>
          <w:tcPr>
            <w:tcW w:type="dxa" w:w="153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04.12.26</w:t>
            </w:r>
          </w:p>
        </w:tc>
        <w:tc>
          <w:tcPr>
            <w:tcW w:type="dxa" w:w="102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164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22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Требования и дизайн</w:t>
            </w:r>
          </w:p>
        </w:tc>
        <w:tc>
          <w:tcPr>
            <w:tcW w:type="dxa" w:w="153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07.12.26</w:t>
            </w:r>
          </w:p>
        </w:tc>
        <w:tc>
          <w:tcPr>
            <w:tcW w:type="dxa" w:w="153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22.01.27</w:t>
            </w:r>
          </w:p>
        </w:tc>
        <w:tc>
          <w:tcPr>
            <w:tcW w:type="dxa" w:w="102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164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42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Общая платформа</w:t>
            </w:r>
          </w:p>
        </w:tc>
        <w:tc>
          <w:tcPr>
            <w:tcW w:type="dxa" w:w="153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25.01.27</w:t>
            </w:r>
          </w:p>
        </w:tc>
        <w:tc>
          <w:tcPr>
            <w:tcW w:type="dxa" w:w="153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09.04.27</w:t>
            </w:r>
          </w:p>
        </w:tc>
        <w:tc>
          <w:tcPr>
            <w:tcW w:type="dxa" w:w="102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164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55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Нотации и синхронизация</w:t>
            </w:r>
          </w:p>
        </w:tc>
        <w:tc>
          <w:tcPr>
            <w:tcW w:type="dxa" w:w="153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01.03.27</w:t>
            </w:r>
          </w:p>
        </w:tc>
        <w:tc>
          <w:tcPr>
            <w:tcW w:type="dxa" w:w="153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28.05.27</w:t>
            </w:r>
          </w:p>
        </w:tc>
        <w:tc>
          <w:tcPr>
            <w:tcW w:type="dxa" w:w="102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8</w:t>
            </w:r>
          </w:p>
        </w:tc>
        <w:tc>
          <w:tcPr>
            <w:tcW w:type="dxa" w:w="164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81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Приёмка и выпуск</w:t>
            </w:r>
          </w:p>
        </w:tc>
        <w:tc>
          <w:tcPr>
            <w:tcW w:type="dxa" w:w="153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12.04.27</w:t>
            </w:r>
          </w:p>
        </w:tc>
        <w:tc>
          <w:tcPr>
            <w:tcW w:type="dxa" w:w="153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18.06.27</w:t>
            </w:r>
          </w:p>
        </w:tc>
        <w:tc>
          <w:tcPr>
            <w:tcW w:type="dxa" w:w="102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164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38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Маркетинг и пилот</w:t>
            </w:r>
          </w:p>
        </w:tc>
        <w:tc>
          <w:tcPr>
            <w:tcW w:type="dxa" w:w="153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07.12.26</w:t>
            </w:r>
          </w:p>
        </w:tc>
        <w:tc>
          <w:tcPr>
            <w:tcW w:type="dxa" w:w="153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30.06.27</w:t>
            </w:r>
          </w:p>
        </w:tc>
        <w:tc>
          <w:tcPr>
            <w:tcW w:type="dxa" w:w="102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164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74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Итого</w:t>
            </w:r>
          </w:p>
        </w:tc>
        <w:tc>
          <w:tcPr>
            <w:tcW w:type="dxa" w:w="153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02.11.26</w:t>
            </w:r>
          </w:p>
        </w:tc>
        <w:tc>
          <w:tcPr>
            <w:tcW w:type="dxa" w:w="153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30.06.27</w:t>
            </w:r>
          </w:p>
        </w:tc>
        <w:tc>
          <w:tcPr>
            <w:tcW w:type="dxa" w:w="102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36</w:t>
            </w:r>
          </w:p>
        </w:tc>
        <w:tc>
          <w:tcPr>
            <w:tcW w:type="dxa" w:w="164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312</w:t>
            </w:r>
          </w:p>
        </w:tc>
      </w:tr>
    </w:tbl>
    <w:p>
      <w:pPr>
        <w:spacing w:after="0"/>
      </w:pPr>
    </w:p>
    <w:p>
      <w:pPr>
        <w:pStyle w:val="Основнойтекстотчёта"/>
      </w:pPr>
      <w:r>
        <w:t>Контрольные вехи: утверждение концепции 4 декабря 2026 года, готовность функционального контура 28 мая 2027 года и защита плана 30 июня 2027 года. У вех нулевая длительность и отсутствуют трудозатраты.</w:t>
      </w:r>
    </w:p>
    <w:p>
      <w:pPr>
        <w:pStyle w:val="Heading2"/>
      </w:pPr>
      <w:r>
        <w:t>2.3 Зависимости и критическая последовательность</w:t>
      </w:r>
    </w:p>
    <w:p>
      <w:pPr>
        <w:pStyle w:val="Основнойтекстотчёта"/>
      </w:pPr>
      <w:r>
        <w:t>В плане используются связи FS (последующая работа начинается после завершения предшествующей), SS (совместный старт) и FF (совместное завершение). Для анализа последовательности выполнен расчёт по сети зависимостей и длительностям в рабочих днях без фиксированных вручную дат и дополнительных задержек. Поэтому выделенная цепь отражает логическую основу срока и должна быть сверена с критическим путём после переноса плана в GanttPRO.</w:t>
      </w:r>
    </w:p>
    <w:p>
      <w:pPr>
        <w:pStyle w:val="Основнойтекстотчёта"/>
      </w:pPr>
      <w:r>
        <w:t>Расчётная критическая цепь: 1.1.1 → 1.1.3 → 1.2.1 → 1.2.2 → 6.1.1 → 6.1.2 → 6.1.3 → 6.2.1 → 6.2.2 → 6.2.3 → 6.2.4 → 6.9.0. Её длина составляет 163 рабочих дней от начала первой операции до последней вехи. Базовый календарный план содержит вручную заданные даты и промежутки между отдельными работами, поэтому фактическая дата завершения по плану — 30 июня 2027 года.</w:t>
      </w:r>
    </w:p>
    <w:p>
      <w:pPr>
        <w:pStyle w:val="1"/>
      </w:pPr>
      <w:r>
        <w:t>3 Ресурсы и стоимость</w:t>
      </w:r>
    </w:p>
    <w:p>
      <w:pPr>
        <w:pStyle w:val="Heading2"/>
      </w:pPr>
      <w:r>
        <w:t>3.1 Трудовые и материальные ресурсы</w:t>
      </w:r>
    </w:p>
    <w:p>
      <w:pPr>
        <w:pStyle w:val="Основнойтекстотчёта"/>
      </w:pPr>
      <w:r>
        <w:t>В оценке участвуют пять ролей с неполной загрузкой; их трудозатраты и ставки приведены в таблице 3. Суммарные трудозатраты составляют 312 человеко-дней. Для анализа перегрузки трудозатраты каждой операции равномерно распределены по её рабочим дням; сумма долей нагрузки исполнителя за день сравнивается с одной полной ставкой. Такой расчёт является плановой оценкой и не заменяет назначения ресурсов в GanttPRO.</w:t>
      </w:r>
    </w:p>
    <w:p>
      <w:pPr>
        <w:pStyle w:val="Подписьтаблицы"/>
        <w:keepNext/>
      </w:pPr>
      <w:r>
        <w:t>Таблица 3 – Трудовые ресурсы и учебные ставки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948"/>
        <w:gridCol w:w="907"/>
        <w:gridCol w:w="1134"/>
        <w:gridCol w:w="1814"/>
        <w:gridCol w:w="1644"/>
      </w:tblGrid>
      <w:tr>
        <w:trPr>
          <w:tblHeader/>
          <w:cantSplit/>
        </w:trPr>
        <w:tc>
          <w:tcPr>
            <w:tcW w:type="dxa" w:w="90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Код</w:t>
            </w:r>
          </w:p>
        </w:tc>
        <w:tc>
          <w:tcPr>
            <w:tcW w:type="dxa" w:w="2948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Исполнитель</w:t>
            </w:r>
          </w:p>
        </w:tc>
        <w:tc>
          <w:tcPr>
            <w:tcW w:type="dxa" w:w="90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Труд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₽/день</w:t>
            </w:r>
          </w:p>
        </w:tc>
        <w:tc>
          <w:tcPr>
            <w:tcW w:type="dxa" w:w="181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Стоимость, ₽</w:t>
            </w:r>
          </w:p>
        </w:tc>
        <w:tc>
          <w:tcPr>
            <w:tcW w:type="dxa" w:w="164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Пик, ставки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РП</w:t>
            </w:r>
          </w:p>
        </w:tc>
        <w:tc>
          <w:tcPr>
            <w:tcW w:type="dxa" w:w="2948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Руководитель проекта и аналитик</w:t>
            </w:r>
          </w:p>
        </w:tc>
        <w:tc>
          <w:tcPr>
            <w:tcW w:type="dxa" w:w="90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41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8 000</w:t>
            </w:r>
          </w:p>
        </w:tc>
        <w:tc>
          <w:tcPr>
            <w:tcW w:type="dxa" w:w="181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328 000</w:t>
            </w:r>
          </w:p>
        </w:tc>
        <w:tc>
          <w:tcPr>
            <w:tcW w:type="dxa" w:w="164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1,00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АР</w:t>
            </w:r>
          </w:p>
        </w:tc>
        <w:tc>
          <w:tcPr>
            <w:tcW w:type="dxa" w:w="2948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Архитектор и разработчик платформы</w:t>
            </w:r>
          </w:p>
        </w:tc>
        <w:tc>
          <w:tcPr>
            <w:tcW w:type="dxa" w:w="90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78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10 000</w:t>
            </w:r>
          </w:p>
        </w:tc>
        <w:tc>
          <w:tcPr>
            <w:tcW w:type="dxa" w:w="181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780 000</w:t>
            </w:r>
          </w:p>
        </w:tc>
        <w:tc>
          <w:tcPr>
            <w:tcW w:type="dxa" w:w="164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1,00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ИН</w:t>
            </w:r>
          </w:p>
        </w:tc>
        <w:tc>
          <w:tcPr>
            <w:tcW w:type="dxa" w:w="2948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Разработчик нотаций и языка</w:t>
            </w:r>
          </w:p>
        </w:tc>
        <w:tc>
          <w:tcPr>
            <w:tcW w:type="dxa" w:w="90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67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9 000</w:t>
            </w:r>
          </w:p>
        </w:tc>
        <w:tc>
          <w:tcPr>
            <w:tcW w:type="dxa" w:w="181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603 000</w:t>
            </w:r>
          </w:p>
        </w:tc>
        <w:tc>
          <w:tcPr>
            <w:tcW w:type="dxa" w:w="164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0,97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UX</w:t>
            </w:r>
          </w:p>
        </w:tc>
        <w:tc>
          <w:tcPr>
            <w:tcW w:type="dxa" w:w="2948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UX-специалист</w:t>
            </w:r>
          </w:p>
        </w:tc>
        <w:tc>
          <w:tcPr>
            <w:tcW w:type="dxa" w:w="90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41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7 000</w:t>
            </w:r>
          </w:p>
        </w:tc>
        <w:tc>
          <w:tcPr>
            <w:tcW w:type="dxa" w:w="181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287 000</w:t>
            </w:r>
          </w:p>
        </w:tc>
        <w:tc>
          <w:tcPr>
            <w:tcW w:type="dxa" w:w="164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0,60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МК</w:t>
            </w:r>
          </w:p>
        </w:tc>
        <w:tc>
          <w:tcPr>
            <w:tcW w:type="dxa" w:w="2948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Специалист по маркетингу и ручной проверке</w:t>
            </w:r>
          </w:p>
        </w:tc>
        <w:tc>
          <w:tcPr>
            <w:tcW w:type="dxa" w:w="90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85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7 000</w:t>
            </w:r>
          </w:p>
        </w:tc>
        <w:tc>
          <w:tcPr>
            <w:tcW w:type="dxa" w:w="181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595 000</w:t>
            </w:r>
          </w:p>
        </w:tc>
        <w:tc>
          <w:tcPr>
            <w:tcW w:type="dxa" w:w="164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1,00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</w:r>
          </w:p>
        </w:tc>
        <w:tc>
          <w:tcPr>
            <w:tcW w:type="dxa" w:w="2948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Итого</w:t>
            </w:r>
          </w:p>
        </w:tc>
        <w:tc>
          <w:tcPr>
            <w:tcW w:type="dxa" w:w="90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312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</w:r>
          </w:p>
        </w:tc>
        <w:tc>
          <w:tcPr>
            <w:tcW w:type="dxa" w:w="181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2 593 000</w:t>
            </w:r>
          </w:p>
        </w:tc>
        <w:tc>
          <w:tcPr>
            <w:tcW w:type="dxa" w:w="164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</w:r>
          </w:p>
        </w:tc>
      </w:tr>
    </w:tbl>
    <w:p>
      <w:pPr>
        <w:spacing w:after="0"/>
      </w:pPr>
    </w:p>
    <w:p>
      <w:pPr>
        <w:pStyle w:val="Основнойтекстотчёта"/>
      </w:pPr>
      <w:r>
        <w:t>По принятому распределению трудозатрат максимальная дневная загрузка каждой роли не превышает одну ставку. Недельная картина показана в приложении В. Перед реальным запуском проекта доступность конкретных сотрудников и пересечения работ следует подтвердить.</w:t>
      </w:r>
    </w:p>
    <w:p>
      <w:pPr>
        <w:pStyle w:val="Основнойтекстотчёта"/>
      </w:pPr>
      <w:r>
        <w:t>Материальное обеспечение: пять ноутбуков по 75 000 руб., пять мониторов по 15 000 руб. и периферия по 5 000 руб. на участника. Стоимость оборудования составляет 475 000 руб. Лимит на ПО и сервисы — 90 000 руб.; использование уже применяемых открытых инструментов не приравнивается к покупке лицензий.</w:t>
      </w:r>
    </w:p>
    <w:p>
      <w:pPr>
        <w:pStyle w:val="Heading2"/>
      </w:pPr>
      <w:r>
        <w:t>3.2 Смета проекта</w:t>
      </w:r>
    </w:p>
    <w:p>
      <w:pPr>
        <w:pStyle w:val="Основнойтекстотчёта"/>
      </w:pPr>
      <w:r>
        <w:t>Статьи оценочного бюджета сведены в таблице 4.</w:t>
      </w:r>
    </w:p>
    <w:p>
      <w:pPr>
        <w:pStyle w:val="Подписьтаблицы"/>
        <w:keepNext/>
      </w:pPr>
      <w:r>
        <w:t>Таблица 4 – Оценочная стоимость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0"/>
        <w:gridCol w:w="2665"/>
      </w:tblGrid>
      <w:tr>
        <w:trPr>
          <w:tblHeader/>
          <w:cantSplit/>
        </w:trPr>
        <w:tc>
          <w:tcPr>
            <w:tcW w:type="dxa" w:w="669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Статья</w:t>
            </w:r>
          </w:p>
        </w:tc>
        <w:tc>
          <w:tcPr>
            <w:tcW w:type="dxa" w:w="266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Сумма, ₽</w:t>
            </w:r>
          </w:p>
        </w:tc>
      </w:tr>
      <w:tr>
        <w:trPr>
          <w:cantSplit/>
        </w:trPr>
        <w:tc>
          <w:tcPr>
            <w:tcW w:type="dxa" w:w="669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Труд</w:t>
            </w:r>
          </w:p>
        </w:tc>
        <w:tc>
          <w:tcPr>
            <w:tcW w:type="dxa" w:w="266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2 593 000</w:t>
            </w:r>
          </w:p>
        </w:tc>
      </w:tr>
      <w:tr>
        <w:trPr>
          <w:cantSplit/>
        </w:trPr>
        <w:tc>
          <w:tcPr>
            <w:tcW w:type="dxa" w:w="669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Оборудование</w:t>
            </w:r>
          </w:p>
        </w:tc>
        <w:tc>
          <w:tcPr>
            <w:tcW w:type="dxa" w:w="266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475 000</w:t>
            </w:r>
          </w:p>
        </w:tc>
      </w:tr>
      <w:tr>
        <w:trPr>
          <w:cantSplit/>
        </w:trPr>
        <w:tc>
          <w:tcPr>
            <w:tcW w:type="dxa" w:w="669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 и сервисы</w:t>
            </w:r>
          </w:p>
        </w:tc>
        <w:tc>
          <w:tcPr>
            <w:tcW w:type="dxa" w:w="266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90 000</w:t>
            </w:r>
          </w:p>
        </w:tc>
      </w:tr>
      <w:tr>
        <w:trPr>
          <w:cantSplit/>
        </w:trPr>
        <w:tc>
          <w:tcPr>
            <w:tcW w:type="dxa" w:w="669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Маркетинг</w:t>
            </w:r>
          </w:p>
        </w:tc>
        <w:tc>
          <w:tcPr>
            <w:tcW w:type="dxa" w:w="266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160 000</w:t>
            </w:r>
          </w:p>
        </w:tc>
      </w:tr>
      <w:tr>
        <w:trPr>
          <w:cantSplit/>
        </w:trPr>
        <w:tc>
          <w:tcPr>
            <w:tcW w:type="dxa" w:w="669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Прямые затраты</w:t>
            </w:r>
          </w:p>
        </w:tc>
        <w:tc>
          <w:tcPr>
            <w:tcW w:type="dxa" w:w="266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3 318 000</w:t>
            </w:r>
          </w:p>
        </w:tc>
      </w:tr>
      <w:tr>
        <w:trPr>
          <w:cantSplit/>
        </w:trPr>
        <w:tc>
          <w:tcPr>
            <w:tcW w:type="dxa" w:w="669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Резерв 10 %</w:t>
            </w:r>
          </w:p>
        </w:tc>
        <w:tc>
          <w:tcPr>
            <w:tcW w:type="dxa" w:w="266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331 800</w:t>
            </w:r>
          </w:p>
        </w:tc>
      </w:tr>
      <w:tr>
        <w:trPr>
          <w:cantSplit/>
        </w:trPr>
        <w:tc>
          <w:tcPr>
            <w:tcW w:type="dxa" w:w="669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Итого</w:t>
            </w:r>
          </w:p>
        </w:tc>
        <w:tc>
          <w:tcPr>
            <w:tcW w:type="dxa" w:w="266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3 649 800</w:t>
            </w:r>
          </w:p>
        </w:tc>
      </w:tr>
    </w:tbl>
    <w:p>
      <w:pPr>
        <w:spacing w:after="0"/>
      </w:pPr>
    </w:p>
    <w:p>
      <w:pPr>
        <w:pStyle w:val="Основнойтекстотчёта"/>
      </w:pPr>
      <w:r>
        <w:t>Смета является учебной оценкой. Ставки персонала приняты с учётом начислений; расходы на маркетинг распределены между пилотной группой, подготовкой материалов и продвижением. Резерв составляет 10 % прямых затрат. Итоговый бюджет проекта — 3 649 800 руб.</w:t>
      </w:r>
    </w:p>
    <w:p>
      <w:pPr>
        <w:pStyle w:val="1"/>
      </w:pPr>
      <w:r>
        <w:t>4 Маркетинг и контроль результата</w:t>
      </w:r>
    </w:p>
    <w:p>
      <w:pPr>
        <w:pStyle w:val="Основнойтекстотчёта"/>
      </w:pPr>
      <w:r>
        <w:t>Маркетинговая гипотеза предполагает интерес студентов и преподавателей, бизнес-аналитиков и небольших проектных команд к единому редактору нескольких нотаций. План включает ценностное предложение, демонстрационную страницу, учебные материалы, набор пилотной группы, анализ отзывов и подготовку гипотез монетизации. Выбор каналов и объём бюджета требуют проверки на пилоте; рыночный спрос в рамках этой плановой работы не подтверждён.</w:t>
      </w:r>
    </w:p>
    <w:p>
      <w:pPr>
        <w:pStyle w:val="Основнойтекстотчёта"/>
      </w:pPr>
      <w:r>
        <w:t>Для контроля проекта предусмотрены три вехи, проверка кандидата выпуска и пилотные показатели из раздела 1.2. Если количество участников, интервью или доля завершивших базовый сценарий окажутся ниже целевых значений, результаты пилота следует использовать для пересмотра требований и плана запуска.</w:t>
      </w:r>
    </w:p>
    <w:p>
      <w:pPr>
        <w:pStyle w:val="1"/>
      </w:pPr>
      <w:r>
        <w:t>Вывод</w:t>
      </w:r>
    </w:p>
    <w:p>
      <w:pPr>
        <w:pStyle w:val="Основнойтекстотчёта"/>
      </w:pPr>
      <w:r>
        <w:t>Для проекта OmniNotation подготовлены цель, границы и результаты, трёхуровневая ИСР, календарный план на 36 операций с тремя вехами и связями FS, SS и FF, оценка пяти ролей, оборудования и затрат. Плановый период — с 2 ноября 2026 года по 30 июня 2027 года; трудозатраты составляют 312 человеко-дней, бюджет с резервом — 3 649 800 руб. Диаграммы Ганта и загрузка исполнителей построены по данным Excel-плана. Критическая цепь рассчитана по сети зависимостей; после импорта в GanttPRO её и ресурсную загрузку нужно сверить с настройками приложения и выгрузить итоговый PDF проекта.</w:t>
      </w:r>
    </w:p>
    <w:p>
      <w:pPr>
        <w:pStyle w:val="1"/>
      </w:pPr>
      <w:r>
        <w:t>Источники</w:t>
      </w:r>
    </w:p>
    <w:p>
      <w:pPr>
        <w:pStyle w:val="Основнойтекстотчёта"/>
      </w:pPr>
      <w:r>
        <w:t>1. Задание по дисциплине «Управление ИТ-проектами» — фотография учебного задания в каталоге УИТП.</w:t>
      </w:r>
    </w:p>
    <w:p>
      <w:pPr>
        <w:pStyle w:val="Основнойтекстотчёта"/>
      </w:pPr>
      <w:r>
        <w:t>2. План проекта OmniNotation на 2026–2027 годы — рабочая книга Excel с листами «Паспорт», «План» и «Гант».</w:t>
      </w:r>
    </w:p>
    <w:p>
      <w:pPr>
        <w:sectPr>
          <w:footerReference w:type="default" r:id="rId28"/>
          <w:pgSz w:w="11906" w:h="16838"/>
          <w:pgMar w:top="1134" w:right="850" w:bottom="1134" w:left="1701" w:header="567" w:footer="567" w:gutter="0"/>
          <w:cols w:space="720"/>
        </w:sectPr>
      </w:pPr>
    </w:p>
    <w:p>
      <w:pPr>
        <w:pStyle w:val="1"/>
      </w:pPr>
      <w:r>
        <w:t>Приложение А Полный календарный план</w:t>
      </w:r>
    </w:p>
    <w:p>
      <w:pPr>
        <w:pStyle w:val="Основнойтекстотчёта"/>
      </w:pPr>
      <w:r>
        <w:t>В таблице 5 приведены 36 операций и три вехи. Длительность указана в рабочих днях, связи с предшественниками — по обозначениям FS, SS и FF.</w:t>
      </w:r>
    </w:p>
    <w:p>
      <w:pPr>
        <w:pStyle w:val="Подписьтаблицы"/>
        <w:keepNext/>
      </w:pPr>
      <w:r>
        <w:t>Таблица 5 – Операции, ресурсы и связи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479"/>
        <w:gridCol w:w="1587"/>
        <w:gridCol w:w="1587"/>
        <w:gridCol w:w="850"/>
        <w:gridCol w:w="850"/>
        <w:gridCol w:w="1134"/>
        <w:gridCol w:w="3005"/>
      </w:tblGrid>
      <w:tr>
        <w:trPr>
          <w:tblHeader/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Код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Операция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Нач.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Кон.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Дн.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Исп.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Труд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Предшественник / связь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1.1.1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Старт проекта и критерии успеха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02.11.26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06.11.26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РП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—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1.1.2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Аудит текущей версии OmniNotation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02.11.26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13.11.26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АР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1.1.1 SS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1.1.3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Интервью и сегменты пользователей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09.11.26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20.11.26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МК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1.1.1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1.2.1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Анализ альтернатив и позиционирования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16.11.26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27.11.26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МК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1.1.3 SS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1.2.2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Концепция, границы и KPI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30.11.26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04.12.26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РП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1.2.1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2.1.1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Сценарии применения DFD/IDEF0/BPMN/UML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07.12.26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18.12.26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РП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1.2.2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2.1.2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Функциональные требования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14.12.26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08.01.27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РП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8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2.1.1 SS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2.1.3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Профили нотаций и критерии приёмки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21.12.26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08.01.27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15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ИН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9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2.1.2 SS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2.2.1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Прототипы сценариев и интерфейса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14.12.26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08.01.27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UX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12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2.1.1 SS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2.2.2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Приоритетный бэклог и оценки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11.01.27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22.01.27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РП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2.1.3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3.1.1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Уточнение архитектуры модулей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25.01.27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12.02.27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15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АР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2.2.2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3.1.2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Общий хост и реестр адаптеров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01.02.27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19.02.27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15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АР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3.1.1 SS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3.1.3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Общий язык и синхронизация модели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15.02.27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26.02.27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ИН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3.1.1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3.2.1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Сохранение, черновики и восстановление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22.02.27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19.03.27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АР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12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3.1.2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3.2.2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Единый интерфейс редактора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22.02.27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19.03.27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UX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12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3.1.2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3.2.3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Экспорт и выпускные сборки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22.03.27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09.04.27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15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АР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9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3.2.1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4.1.1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Доработка DFD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01.03.27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19.03.27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15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ИН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11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3.1.3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4.1.2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Доработка IDEF0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22.03.27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16.04.27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ИН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13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4.1.1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4.1.3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Доработка графического BPMN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01.03.27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26.03.27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АР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8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3.1.2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4.1.4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Семантические правила BPMN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29.03.27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30.04.27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25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ИН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8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4.1.3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4.2.1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Доработка UML-профилей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19.04.27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14.05.27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ИН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12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4.1.2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4.2.2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Проверка text ↔ diagram round-trip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12.04.27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07.05.27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АР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14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3.2.3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4.2.3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Библиотека примеров и шаблонов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03.05.27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21.05.27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15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UX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8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4.1.4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4.2.4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Интеграция и исправление дефектов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17.05.27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28.05.27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ИН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4.2.1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5.1.1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Сценарии ручной проверки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12.04.27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30.04.27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15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МК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4.1.3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5.1.2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Ручная приёмка и пилотная проверка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31.05.27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11.06.27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РП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4.2.4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5.1.3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Устойчивость и производительность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24.05.27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11.06.27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15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АР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11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4.2.2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5.2.1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Кандидат выпуска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14.06.27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18.06.27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АР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5.1.2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5.2.2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Руководство пользователя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31.05.27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18.06.27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15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UX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9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4.2.3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6.1.1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Ценностное предложение и аудитории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07.12.26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15.01.27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МК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15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1.2.2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6.1.2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Лендинг и демонстрация продукта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18.01.27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26.02.27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МК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15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6.1.1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6.1.3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Контент-план и учебные материалы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01.03.27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26.03.27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МК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6.1.2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6.2.1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Набор пилотной группы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05.04.27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30.04.27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МК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6.1.3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6.2.2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Пилот и сбор обратной связи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03.05.27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28.05.27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МК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6.2.1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6.2.3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Анализ отклика и гипотезы монетизации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31.05.27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18.06.27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15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МК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8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6.2.2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6.2.4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Презентация и план запуска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21.06.27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30.06.27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8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РП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5.2.1 FS; 6.2.3 FS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1.9.0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Веха: концепция утверждена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04.12.26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04.12.26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РП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1.2.2 FF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4.9.0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Веха: функциональный контур готов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28.05.27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28.05.27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РП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4.2.4 FF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6.9.0</w:t>
            </w:r>
          </w:p>
        </w:tc>
        <w:tc>
          <w:tcPr>
            <w:tcW w:type="dxa" w:w="4479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Веха: план защищён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30.06.27</w:t>
            </w:r>
          </w:p>
        </w:tc>
        <w:tc>
          <w:tcPr>
            <w:tcW w:type="dxa" w:w="1587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30.06.27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850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РП</w:t>
            </w:r>
          </w:p>
        </w:tc>
        <w:tc>
          <w:tcPr>
            <w:tcW w:type="dxa" w:w="1134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3005"/>
            <w:vAlign w:val="center"/>
            <w:tcBorders>
              <w:top w:val="single" w:sz="5" w:color="7F7F7F"/>
              <w:left w:val="single" w:sz="5" w:color="7F7F7F"/>
              <w:bottom w:val="single" w:sz="5" w:color="7F7F7F"/>
              <w:right w:val="single" w:sz="5" w:color="7F7F7F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6.2.4 FF</w:t>
            </w:r>
          </w:p>
        </w:tc>
      </w:tr>
    </w:tbl>
    <w:p>
      <w:pPr>
        <w:spacing w:after="0"/>
      </w:pPr>
    </w:p>
    <w:p>
      <w:pPr>
        <w:pStyle w:val="1"/>
      </w:pPr>
      <w:r>
        <w:t>Приложение Б Диаграммы Ганта</w:t>
      </w:r>
    </w:p>
    <w:p>
      <w:pPr>
        <w:pStyle w:val="Основнойтекстотчёта"/>
        <w:keepNext/>
      </w:pPr>
      <w:r>
        <w:t>На рисунках 1 и 2 показан календарный план по данным Excel. Жирной рамкой отмечены операции расчётной критической цепи, определённой без ручных календарных ограничений. Вехи показаны ромбами.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288000" cy="4661862"/>
            <wp:docPr id="298370852" name="Picture 298370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88000" cy="466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  <w:keepLines/>
      </w:pPr>
      <w:r>
        <w:t>Рисунок 1 – Календарь этапов 1–4</w:t>
      </w:r>
    </w:p>
    <w:p>
      <w:r>
        <w:br w:type="page"/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288000" cy="4454667"/>
            <wp:docPr id="298370853" name="Picture 298370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288000" cy="4454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  <w:keepLines/>
      </w:pPr>
      <w:r>
        <w:t>Рисунок 2 – Календарь завершения разработки, выпуска и маркетинга</w:t>
      </w:r>
    </w:p>
    <w:p>
      <w:r>
        <w:br w:type="page"/>
      </w:r>
    </w:p>
    <w:p>
      <w:pPr>
        <w:pStyle w:val="1"/>
      </w:pPr>
      <w:r>
        <w:t>Приложение В Загрузка ресурсов</w:t>
      </w:r>
    </w:p>
    <w:p>
      <w:pPr>
        <w:pStyle w:val="Основнойтекстотчёта"/>
        <w:keepNext/>
      </w:pPr>
      <w:r>
        <w:t>На рисунке 3 показана средняя занятость по неделям как доля полной ставки. Расчёт выполнен равномерным распределением трудозатрат операции на её рабочие дни.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288000" cy="2643508"/>
            <wp:docPr id="298370854" name="Picture 298370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urce_loa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288000" cy="2643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  <w:keepLines/>
      </w:pPr>
      <w:r>
        <w:t>Рисунок 3 – Плановая недельная загрузка пяти ролей</w:t>
      </w:r>
    </w:p>
    <w:p>
      <w:pPr>
        <w:pStyle w:val="Основнойтекстотчёта"/>
      </w:pPr>
      <w:r>
        <w:t>В модели не выявлена перегрузка выше 1,0 ставки на одного исполнителя. При фактическом назначении людей необходима повторная проверка отпусков, нерабочих дней и параллельных задач в системе планирования.</w:t>
      </w:r>
    </w:p>
    <w:sectPr w:rsidR="004651E5">
      <w:pgSz w:w="16838" w:h="11906" w:orient="landscape"/>
      <w:pgMar w:top="1020" w:right="850" w:bottom="1020" w:left="1134" w:header="510" w:footer="51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separate"/>
      <w:t>2</w: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50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E0771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3272"/>
  <w15:docId w15:val="{EFBD09B5-06C2-49D7-8FF4-697B1EEC60D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widowControl/>
      <w:spacing w:after="120" w:line="360" w:lineRule="auto" w:before="240"/>
      <w:ind w:left="0" w:firstLine="0" w:right="0"/>
      <w:jc w:val="center"/>
      <w:outlineLvl w:val="0"/>
    </w:pPr>
    <w:rPr>
      <w:rFonts w:ascii="Times New Roman" w:eastAsia="Times New Roman" w:hAnsi="Times New Roman" w:cs="Times New Roman"/>
      <w:b/>
      <w:i w:val="0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Основнойтекстотчёта">
    <w:name w:val="Основной текст отчёта"/>
    <w:pPr>
      <w:keepNext w:val="0"/>
      <w:keepLines w:val="0"/>
      <w:widowControl/>
      <w:spacing w:line="360" w:lineRule="auto" w:before="0" w:after="0"/>
      <w:ind w:firstLine="709" w:left="0" w:right="0"/>
      <w:jc w:val="both"/>
    </w:pPr>
    <w:rPr>
      <w:rFonts w:ascii="Times New Roman" w:hAnsi="Times New Roman"/>
      <w:b w:val="0"/>
      <w:i w:val="0"/>
      <w:color w:val="000000"/>
      <w:sz w:val="28"/>
    </w:rPr>
  </w:style>
  <w:style w:type="paragraph" w:customStyle="1" w:styleId="Heading2">
    <w:name w:val="heading 2"/>
    <w:pPr>
      <w:keepNext/>
      <w:keepLines/>
      <w:widowControl/>
      <w:spacing w:line="360" w:lineRule="auto" w:before="240" w:after="120"/>
      <w:ind w:firstLine="0" w:left="0" w:right="0"/>
      <w:jc w:val="left"/>
    </w:pPr>
    <w:rPr>
      <w:rFonts w:ascii="Times New Roman" w:hAnsi="Times New Roman"/>
      <w:b/>
      <w:i w:val="0"/>
      <w:color w:val="000000"/>
      <w:sz w:val="28"/>
    </w:rPr>
  </w:style>
  <w:style w:type="paragraph" w:customStyle="1" w:styleId="Подписьтаблицы">
    <w:name w:val="Подпись таблицы"/>
    <w:pPr>
      <w:keepNext/>
      <w:keepLines w:val="0"/>
      <w:widowControl/>
      <w:spacing w:line="240" w:lineRule="auto" w:before="120" w:after="60"/>
      <w:ind w:firstLine="0" w:left="0" w:right="0"/>
      <w:jc w:val="left"/>
    </w:pPr>
    <w:rPr>
      <w:rFonts w:ascii="Times New Roman" w:hAnsi="Times New Roman"/>
      <w:b w:val="0"/>
      <w:i/>
      <w:color w:val="000000"/>
      <w:sz w:val="24"/>
    </w:rPr>
  </w:style>
  <w:style w:type="paragraph" w:customStyle="1" w:styleId="Подписьрисунка">
    <w:name w:val="Подпись рисунка"/>
    <w:pPr>
      <w:keepNext w:val="0"/>
      <w:keepLines/>
      <w:widowControl/>
      <w:spacing w:line="240" w:lineRule="auto" w:before="60" w:after="120"/>
      <w:ind w:firstLine="0" w:left="0" w:right="0"/>
      <w:jc w:val="center"/>
    </w:pPr>
    <w:rPr>
      <w:rFonts w:ascii="Times New Roman" w:hAnsi="Times New Roman"/>
      <w:b w:val="0"/>
      <w:i w:val="0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theme" Target="theme/theme1.xml"/><Relationship Id="rId28" Type="http://schemas.openxmlformats.org/officeDocument/2006/relationships/footer" Target="footer1.xml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Савва Губарев</dc:creator>
  <cp:keywords/>
  <cp:lastModifiedBy>VeX EveryOne</cp:lastModifiedBy>
  <cp:revision>3</cp:revision>
  <cp:lastPrinted>2026-09-09T10:18:00Z</cp:lastPrinted>
  <dcterms:created xsi:type="dcterms:W3CDTF">2026-09-09T10:23:00Z</dcterms:created>
  <dcterms:modified xsi:type="dcterms:W3CDTF">2026-09-09T11:04:00Z</dcterms:modified>
</cp:coreProperties>
</file>