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A771B" w:rsidRPr="00867FE9" w14:paraId="27C922ED" w14:textId="77777777" w:rsidTr="001F5DEF">
        <w:trPr>
          <w:cantSplit/>
          <w:trHeight w:val="180"/>
        </w:trPr>
        <w:tc>
          <w:tcPr>
            <w:tcW w:w="5000" w:type="pct"/>
            <w:hideMark/>
          </w:tcPr>
          <w:p w14:paraId="0DEC128E" w14:textId="77777777" w:rsidR="00CA771B" w:rsidRPr="00867FE9" w:rsidRDefault="00CA771B" w:rsidP="001F5DEF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 w:cs="FreeSans"/>
                <w:iCs/>
                <w:noProof/>
                <w:sz w:val="24"/>
              </w:rPr>
              <w:drawing>
                <wp:inline distT="0" distB="0" distL="0" distR="0" wp14:anchorId="3607D314" wp14:editId="653974D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08849" w14:textId="77777777" w:rsidR="00CA771B" w:rsidRPr="00867FE9" w:rsidRDefault="00CA771B" w:rsidP="001F5DEF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</w:rPr>
              <w:t>МИНОБРНАУКИ РОССИИ</w:t>
            </w:r>
          </w:p>
        </w:tc>
      </w:tr>
      <w:tr w:rsidR="00CA771B" w:rsidRPr="00867FE9" w14:paraId="76DE8DA0" w14:textId="77777777" w:rsidTr="001F5DEF">
        <w:trPr>
          <w:cantSplit/>
          <w:trHeight w:val="1417"/>
        </w:trPr>
        <w:tc>
          <w:tcPr>
            <w:tcW w:w="5000" w:type="pct"/>
            <w:hideMark/>
          </w:tcPr>
          <w:p w14:paraId="6A4D9FBC" w14:textId="77777777" w:rsidR="00CA771B" w:rsidRPr="00CA771B" w:rsidRDefault="00CA771B" w:rsidP="001F5DEF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val="ru-RU" w:eastAsia="zh-CN" w:bidi="hi-IN"/>
              </w:rPr>
            </w:pPr>
            <w:r w:rsidRPr="00CA771B">
              <w:rPr>
                <w:rFonts w:ascii="Liberation Serif" w:eastAsia="Droid Sans Fallback" w:hAnsi="Liberation Serif" w:cs="FreeSans"/>
                <w:sz w:val="24"/>
                <w:lang w:val="ru-RU" w:eastAsia="zh-CN" w:bidi="hi-IN"/>
              </w:rPr>
              <w:t>Федеральное государственное бюджетное образовательное учреждение</w:t>
            </w:r>
            <w:r w:rsidRPr="00CA771B">
              <w:rPr>
                <w:rFonts w:ascii="Liberation Serif" w:eastAsia="Droid Sans Fallback" w:hAnsi="Liberation Serif" w:cs="FreeSans"/>
                <w:sz w:val="24"/>
                <w:lang w:val="ru-RU" w:eastAsia="zh-CN" w:bidi="hi-IN"/>
              </w:rPr>
              <w:br/>
              <w:t>высшего образования</w:t>
            </w:r>
            <w:r w:rsidRPr="00CA771B">
              <w:rPr>
                <w:rFonts w:ascii="Liberation Serif" w:eastAsia="Droid Sans Fallback" w:hAnsi="Liberation Serif" w:cs="FreeSans"/>
                <w:sz w:val="24"/>
                <w:lang w:val="ru-RU" w:eastAsia="zh-CN" w:bidi="hi-IN"/>
              </w:rPr>
              <w:br/>
            </w:r>
            <w:r w:rsidRPr="00CA771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val="ru-RU" w:eastAsia="zh-CN" w:bidi="hi-IN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</w:rPr>
              <w:sym w:font="Symbol" w:char="F02D"/>
            </w:r>
            <w:r w:rsidRPr="00CA771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val="ru-RU" w:eastAsia="zh-CN" w:bidi="hi-IN"/>
              </w:rPr>
              <w:t xml:space="preserve"> Российский технологический университет»</w:t>
            </w:r>
          </w:p>
          <w:p w14:paraId="3EF5CDA2" w14:textId="77777777" w:rsidR="00CA771B" w:rsidRPr="00867FE9" w:rsidRDefault="00CA771B" w:rsidP="001F5DEF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</w:rPr>
            </w:pPr>
            <w:r w:rsidRPr="00CA771B">
              <w:rPr>
                <w:rFonts w:eastAsia="Droid Sans Fallback" w:cs="FreeSans"/>
                <w:b/>
                <w:snapToGrid w:val="0"/>
                <w:sz w:val="32"/>
                <w:lang w:val="ru-RU" w:eastAsia="zh-CN" w:bidi="hi-IN"/>
              </w:rPr>
              <w:t xml:space="preserve"> </w:t>
            </w: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</w:rPr>
              <w:t>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84530E1" wp14:editId="41710579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59659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9ED85E3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szCs w:val="28"/>
          <w:lang w:val="ru-RU" w:eastAsia="zh-CN" w:bidi="hi-IN"/>
        </w:rPr>
      </w:pPr>
    </w:p>
    <w:p w14:paraId="7145FA91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szCs w:val="28"/>
          <w:lang w:val="ru-RU" w:eastAsia="zh-CN" w:bidi="hi-IN"/>
        </w:rPr>
      </w:pPr>
    </w:p>
    <w:p w14:paraId="52EC21CB" w14:textId="18362C16" w:rsidR="00CA771B" w:rsidRPr="00867FE9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proofErr w:type="spellStart"/>
      <w:r w:rsidRPr="00867FE9">
        <w:rPr>
          <w:rFonts w:eastAsia="Droid Sans Fallback"/>
          <w:b/>
          <w:szCs w:val="28"/>
          <w:lang w:eastAsia="zh-CN" w:bidi="hi-IN"/>
        </w:rPr>
        <w:t>Институт</w:t>
      </w:r>
      <w:proofErr w:type="spellEnd"/>
      <w:r w:rsidRPr="00867FE9">
        <w:rPr>
          <w:rFonts w:eastAsia="Droid Sans Fallback"/>
          <w:b/>
          <w:szCs w:val="28"/>
          <w:lang w:eastAsia="zh-CN" w:bidi="hi-IN"/>
        </w:rPr>
        <w:t xml:space="preserve"> </w:t>
      </w:r>
      <w:proofErr w:type="spellStart"/>
      <w:r w:rsidRPr="00867FE9">
        <w:rPr>
          <w:rFonts w:eastAsia="Droid Sans Fallback"/>
          <w:b/>
          <w:szCs w:val="28"/>
          <w:lang w:eastAsia="zh-CN" w:bidi="hi-IN"/>
        </w:rPr>
        <w:t>информационных</w:t>
      </w:r>
      <w:proofErr w:type="spellEnd"/>
      <w:r w:rsidRPr="00867FE9">
        <w:rPr>
          <w:rFonts w:eastAsia="Droid Sans Fallback"/>
          <w:b/>
          <w:szCs w:val="28"/>
          <w:lang w:eastAsia="zh-CN" w:bidi="hi-IN"/>
        </w:rPr>
        <w:t xml:space="preserve"> </w:t>
      </w:r>
      <w:proofErr w:type="spellStart"/>
      <w:r w:rsidRPr="00867FE9">
        <w:rPr>
          <w:rFonts w:eastAsia="Droid Sans Fallback"/>
          <w:b/>
          <w:szCs w:val="28"/>
          <w:lang w:eastAsia="zh-CN" w:bidi="hi-IN"/>
        </w:rPr>
        <w:t>технологий</w:t>
      </w:r>
      <w:proofErr w:type="spellEnd"/>
      <w:r w:rsidRPr="00867FE9">
        <w:rPr>
          <w:rFonts w:eastAsia="Droid Sans Fallback"/>
          <w:b/>
          <w:szCs w:val="28"/>
          <w:lang w:eastAsia="zh-CN" w:bidi="hi-IN"/>
        </w:rPr>
        <w:t xml:space="preserve"> (ИИТ)</w:t>
      </w:r>
    </w:p>
    <w:p w14:paraId="47D94D86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  <w:r w:rsidRPr="00CA771B">
        <w:rPr>
          <w:rFonts w:eastAsia="Droid Sans Fallback"/>
          <w:b/>
          <w:szCs w:val="28"/>
          <w:lang w:val="ru-RU" w:eastAsia="zh-CN" w:bidi="hi-IN"/>
        </w:rPr>
        <w:t>Кафедра квантовых информационных технологий, практической и прикладной информатики (</w:t>
      </w:r>
      <w:proofErr w:type="spellStart"/>
      <w:r w:rsidRPr="00CA771B">
        <w:rPr>
          <w:rFonts w:eastAsia="Droid Sans Fallback"/>
          <w:b/>
          <w:szCs w:val="28"/>
          <w:lang w:val="ru-RU" w:eastAsia="zh-CN" w:bidi="hi-IN"/>
        </w:rPr>
        <w:t>ККИТПиПИ</w:t>
      </w:r>
      <w:proofErr w:type="spellEnd"/>
      <w:r w:rsidRPr="00CA771B">
        <w:rPr>
          <w:rFonts w:eastAsia="Droid Sans Fallback"/>
          <w:b/>
          <w:szCs w:val="28"/>
          <w:lang w:val="ru-RU" w:eastAsia="zh-CN" w:bidi="hi-IN"/>
        </w:rPr>
        <w:t>)</w:t>
      </w:r>
    </w:p>
    <w:p w14:paraId="767FF348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val="ru-RU" w:eastAsia="zh-CN" w:bidi="hi-IN"/>
        </w:rPr>
      </w:pPr>
    </w:p>
    <w:p w14:paraId="25A4F6B0" w14:textId="77777777" w:rsidR="00CA771B" w:rsidRDefault="00CA771B" w:rsidP="00CA771B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val="ru-RU" w:eastAsia="zh-CN" w:bidi="hi-IN"/>
        </w:rPr>
      </w:pPr>
    </w:p>
    <w:p w14:paraId="32A68010" w14:textId="77777777" w:rsidR="00CA771B" w:rsidRDefault="00CA771B" w:rsidP="00CA771B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val="ru-RU" w:eastAsia="zh-CN" w:bidi="hi-IN"/>
        </w:rPr>
      </w:pPr>
    </w:p>
    <w:p w14:paraId="618C9AA3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val="ru-RU" w:eastAsia="zh-CN" w:bidi="hi-IN"/>
        </w:rPr>
      </w:pPr>
    </w:p>
    <w:p w14:paraId="44987635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32"/>
          <w:lang w:val="ru-RU" w:eastAsia="zh-CN" w:bidi="hi-IN"/>
        </w:rPr>
      </w:pPr>
      <w:r>
        <w:rPr>
          <w:rFonts w:ascii="Times New Roman" w:hAnsi="Times New Roman" w:eastAsia="Times New Roman"/>
          <w:b/>
          <w:sz w:val="32"/>
        </w:rPr>
        <w:t>ОТЧЕТ ПО ПРАКТИЧЕСКОЙ РАБОТЕ № 2</w:t>
      </w:r>
    </w:p>
    <w:p w14:paraId="27FBB8E8" w14:textId="73F3346C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bCs/>
          <w:lang w:val="ru-RU" w:eastAsia="zh-CN" w:bidi="hi-IN"/>
        </w:rPr>
      </w:pPr>
      <w:r w:rsidRPr="00CA771B">
        <w:rPr>
          <w:rFonts w:eastAsia="Droid Sans Fallback"/>
          <w:szCs w:val="28"/>
          <w:lang w:val="ru-RU" w:eastAsia="zh-CN" w:bidi="hi-IN"/>
        </w:rPr>
        <w:t>по дисциплине «</w:t>
      </w:r>
      <w:r w:rsidRPr="00CA771B">
        <w:rPr>
          <w:rFonts w:eastAsia="Droid Sans Fallback"/>
          <w:lang w:val="ru-RU" w:eastAsia="zh-CN" w:bidi="hi-IN"/>
        </w:rPr>
        <w:t>Проектирование предметно-ориентированных информационных систем</w:t>
      </w:r>
      <w:r w:rsidRPr="00CA771B">
        <w:rPr>
          <w:rFonts w:eastAsia="Droid Sans Fallback"/>
          <w:szCs w:val="28"/>
          <w:lang w:val="ru-RU" w:eastAsia="zh-CN" w:bidi="hi-IN"/>
        </w:rPr>
        <w:t>»</w:t>
      </w:r>
    </w:p>
    <w:p w14:paraId="7EF15419" w14:textId="77777777" w:rsidR="00CA771B" w:rsidRPr="00CA771B" w:rsidRDefault="00CA771B" w:rsidP="00CA771B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</w:p>
    <w:p w14:paraId="0B344FA7" w14:textId="77777777" w:rsidR="00CA771B" w:rsidRPr="00CA771B" w:rsidRDefault="00CA771B" w:rsidP="00CA771B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</w:p>
    <w:p w14:paraId="70E063DA" w14:textId="77777777" w:rsidR="00CA771B" w:rsidRPr="00CA771B" w:rsidRDefault="00CA771B" w:rsidP="00CA771B">
      <w:pPr>
        <w:widowControl w:val="0"/>
        <w:suppressAutoHyphens/>
        <w:ind w:firstLine="0"/>
        <w:rPr>
          <w:rFonts w:eastAsia="Droid Sans Fallback"/>
          <w:iCs/>
          <w:szCs w:val="28"/>
          <w:lang w:val="ru-RU" w:eastAsia="zh-CN" w:bidi="hi-IN"/>
        </w:rPr>
      </w:pPr>
    </w:p>
    <w:p w14:paraId="6B638626" w14:textId="77777777" w:rsidR="00CA771B" w:rsidRPr="00CA771B" w:rsidRDefault="00CA771B" w:rsidP="00CA771B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</w:p>
    <w:tbl>
      <w:tblPr>
        <w:tblStyle w:val="2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CA771B" w:rsidRPr="00867FE9" w14:paraId="2C4CB563" w14:textId="77777777" w:rsidTr="001F5DEF">
        <w:trPr>
          <w:gridAfter w:val="1"/>
          <w:wAfter w:w="1106" w:type="dxa"/>
        </w:trPr>
        <w:tc>
          <w:tcPr>
            <w:tcW w:w="2547" w:type="dxa"/>
          </w:tcPr>
          <w:p w14:paraId="641E45A1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78622BFE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93EAECD" w14:textId="77777777" w:rsidR="00CA771B" w:rsidRPr="003E7A65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ИНБО-12-23, </w:t>
            </w:r>
            <w:proofErr w:type="spellStart"/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Албахтин</w:t>
            </w:r>
            <w:proofErr w:type="spellEnd"/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 И</w:t>
            </w: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24C4CE4F" w14:textId="77777777" w:rsidR="00CA771B" w:rsidRPr="00867FE9" w:rsidRDefault="00CA771B" w:rsidP="001F5DEF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2D2B6C64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75E9FAF0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CA771B" w:rsidRPr="00867FE9" w14:paraId="73FF568B" w14:textId="77777777" w:rsidTr="001F5DEF">
        <w:trPr>
          <w:gridAfter w:val="1"/>
          <w:wAfter w:w="1106" w:type="dxa"/>
        </w:trPr>
        <w:tc>
          <w:tcPr>
            <w:tcW w:w="2547" w:type="dxa"/>
          </w:tcPr>
          <w:p w14:paraId="15D75588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Преподаватель</w:t>
            </w:r>
          </w:p>
          <w:p w14:paraId="00F90F96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DD7A46A" w14:textId="24771E82" w:rsidR="00CA771B" w:rsidRPr="003E7A65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Борзых Н.Ю.</w:t>
            </w:r>
          </w:p>
          <w:p w14:paraId="04CB55D2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7A81A1B" w14:textId="77777777" w:rsidR="00CA771B" w:rsidRPr="00867FE9" w:rsidRDefault="00CA771B" w:rsidP="001F5DEF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56FE35DB" w14:textId="77777777" w:rsidR="00CA771B" w:rsidRPr="00867FE9" w:rsidRDefault="00CA771B" w:rsidP="001F5DEF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64E74D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470A5F85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CA771B" w:rsidRPr="00867FE9" w14:paraId="100A763A" w14:textId="77777777" w:rsidTr="001F5DEF">
        <w:tc>
          <w:tcPr>
            <w:tcW w:w="2547" w:type="dxa"/>
          </w:tcPr>
          <w:p w14:paraId="25A7FB8C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869F6D0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42E51F1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7C664338" w14:textId="77777777" w:rsidR="00CA771B" w:rsidRPr="00867FE9" w:rsidRDefault="00CA771B" w:rsidP="00CA771B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7A2DA55D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val="ru-RU" w:eastAsia="zh-CN" w:bidi="hi-IN"/>
        </w:rPr>
      </w:pPr>
    </w:p>
    <w:p w14:paraId="4B23A0CB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val="ru-RU" w:eastAsia="zh-CN" w:bidi="hi-IN"/>
        </w:rPr>
      </w:pPr>
    </w:p>
    <w:p w14:paraId="1151C741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val="ru-RU" w:eastAsia="zh-CN" w:bidi="hi-IN"/>
        </w:rPr>
      </w:pPr>
    </w:p>
    <w:p w14:paraId="3B39F7B7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val="ru-RU" w:eastAsia="zh-CN" w:bidi="hi-IN"/>
        </w:rPr>
      </w:pPr>
    </w:p>
    <w:p w14:paraId="06CBC62C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val="ru-RU" w:eastAsia="zh-CN" w:bidi="hi-IN"/>
        </w:rPr>
      </w:pPr>
    </w:p>
    <w:p w14:paraId="6D0E6936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val="ru-RU" w:eastAsia="zh-CN" w:bidi="hi-IN"/>
        </w:rPr>
      </w:pPr>
    </w:p>
    <w:p w14:paraId="442DE1E3" w14:textId="77777777" w:rsidR="00CA771B" w:rsidRPr="00867FE9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2F3F9A1B" w14:textId="77777777" w:rsidR="00CA771B" w:rsidRPr="002A2FAC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  <w:sectPr w:rsidR="00CA771B" w:rsidRPr="002A2FAC" w:rsidSect="00CA771B">
          <w:headerReference w:type="default" r:id="rId19"/>
          <w:footerReference w:type="default" r:id="rId20"/>
          <w:footerReference w:type="first" r:id="rId21"/>
          <w:type w:val="continuous"/>
          <w:pgSz w:w="11906" w:h="16838" w:code="9"/>
          <w:pgMar w:top="1134" w:right="850" w:bottom="1134" w:left="1701" w:header="720" w:footer="567" w:gutter="0"/>
          <w:cols w:space="720"/>
          <w:titlePg/>
          <w:docGrid w:linePitch="381"/>
        </w:sectPr>
      </w:pPr>
      <w:proofErr w:type="spellStart"/>
      <w:r w:rsidRPr="00867FE9">
        <w:rPr>
          <w:rFonts w:ascii="Liberation Serif" w:eastAsia="Droid Sans Fallback" w:hAnsi="Liberation Serif"/>
          <w:sz w:val="24"/>
          <w:szCs w:val="28"/>
          <w:lang w:eastAsia="zh-CN" w:bidi="hi-IN"/>
        </w:rPr>
        <w:t>Москва</w:t>
      </w:r>
      <w:proofErr w:type="spellEnd"/>
      <w:r w:rsidRPr="00867FE9">
        <w:rPr>
          <w:rFonts w:ascii="Liberation Serif" w:eastAsia="Droid Sans Fallback" w:hAnsi="Liberation Serif"/>
          <w:sz w:val="24"/>
          <w:szCs w:val="28"/>
          <w:lang w:eastAsia="zh-CN" w:bidi="hi-IN"/>
        </w:rPr>
        <w:t xml:space="preserve"> 2026 г.</w:t>
      </w:r>
    </w:p>
    <w:p>
      <w:pPr>
        <w:pStyle w:val="1"/>
        <w:keepNext/>
        <w:keepLines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 № 2</w:t>
      </w:r>
    </w:p>
    <w:p>
      <w:pPr>
        <w:keepNext/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Формирование функциональных требований ИС (структурный анализ)</w:t>
      </w:r>
    </w:p>
    <w:p>
      <w:pPr>
        <w:pStyle w:val="1"/>
        <w:keepNext/>
        <w:keepLines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 и индивидуальное задание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Цель работы – построить бизнес-модели процессов проектируемой информационной системы в нотации IDEF0 и определить связь операций, исполнителей и документов.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Индивидуальное задание: разработать контекстную диаграмму, декомпозицию контекстной диаграммы и детализацию процесса «Сформировать BOM и сопоставить товары поставщиков» для проекта «ИС поддержки бизнес-процесса формирования и актуализации карточек товаров компьютерных систем в ООО «Юкомс»».</w:t>
      </w:r>
    </w:p>
    <w:p>
      <w:pPr>
        <w:pStyle w:val="1"/>
        <w:keepNext/>
        <w:keepLines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8"/>
        </w:rPr>
        <w:t>2 Этапы выполнения работы</w:t>
      </w:r>
    </w:p>
    <w:p>
      <w:pPr>
        <w:pStyle w:val="a0"/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sz w:val="28"/>
        </w:rPr>
        <w:t>Выделены основные бизнес-процессы проектируемой ИС.</w:t>
      </w:r>
    </w:p>
    <w:p>
      <w:pPr>
        <w:pStyle w:val="a0"/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sz w:val="28"/>
        </w:rPr>
        <w:t>Сформированы общее описание процесса, его границы, входы, управление, механизмы и выходы.</w:t>
      </w:r>
    </w:p>
    <w:p>
      <w:pPr>
        <w:pStyle w:val="a0"/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sz w:val="28"/>
        </w:rPr>
        <w:t>Построены диаграммы IDEF0 уровней A-0, A0 и A2.</w:t>
      </w:r>
    </w:p>
    <w:p>
      <w:pPr>
        <w:pStyle w:val="a0"/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sz w:val="28"/>
        </w:rPr>
        <w:t>Операции диаграмм сопоставлены с исполнителями, входными и результирующими документами.</w:t>
      </w:r>
    </w:p>
    <w:p>
      <w:pPr>
        <w:pStyle w:val="21"/>
        <w:keepNext/>
        <w:keepLines/>
        <w:spacing w:before="240" w:after="120" w:line="36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8"/>
        </w:rPr>
        <w:t>2.1 Основные бизнес-процессы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В рамках проекта выделены процессы, приведённые в таблице 1.</w:t>
      </w:r>
    </w:p>
    <w:p>
      <w:pPr>
        <w:keepNext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1 – Основные бизнес-процессы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Наименование бизнес-процесса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Краткий результат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Инициирование создания или изменения карточки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Зарегистрированный запрос и черновик карточки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Формирование BOM и сопоставление товаров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Версия BOM с точными моделями или групповыми характеристиками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совместимости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Протокол без ошибок или перечень конфликтов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Массовая замена компонентов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Новые версии всех затронутых BOM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Расчёт цены и веса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Рассчитанные показатели карточки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Подготовка изображений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Комплект изображений по шаблонам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и публикация в Ozon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Опубликованная карточка или зарегистрированная ошибка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Аудит и актуализация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История изменений и перечень карточек, требующих обновления</w:t>
            </w:r>
          </w:p>
        </w:tc>
      </w:tr>
    </w:tbl>
    <w:p>
      <w:pPr>
        <w:pStyle w:val="21"/>
        <w:keepNext/>
        <w:keepLines/>
        <w:spacing w:before="240" w:after="120" w:line="36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8"/>
        </w:rPr>
        <w:t>2.2 Общее описание бизнес-процесса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Процесс начинается с решения создать новое товарное предложение или актуализировать существующую карточку. Менеджер маркетплейсов регистрирует запрос и указывает базовый корпус, категорию Ozon и целевые характеристики.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Технический специалист формирует BOM: для каждого слота выбирает групповую характеристику или точную модель, сопоставляет внутренний компонент с товарами PC4Games и ITPartner. Система получает цены и наличие, а затем проверяет совместимость конфигурации.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После успешной проверки рассчитываются цена и вес, по шаблонам формируются изображения. Менеджер проверяет обязательные атрибуты и публикует карточку через API Ozon. При ошибке система сохраняет ответ в журнале и формирует повторную попытку. Процесс завершается принятой Ozon карточкой либо зарегистрированной ошибкой с назначенным ответственным.</w:t>
      </w:r>
    </w:p>
    <w:p>
      <w:pPr>
        <w:sectPr>
          <w:footerReference w:type="default" r:id="rId10"/>
          <w:headerReference w:type="default" r:id="rId22"/>
          <w:footerReference w:type="first" r:id="rId23"/>
          <w:type w:val="continuous"/>
          <w:pgSz w:w="11906" w:h="16838" w:code="9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21"/>
        <w:keepNext/>
        <w:keepLines/>
        <w:pageBreakBefore w:val="0"/>
        <w:spacing w:before="240" w:after="120" w:line="36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8"/>
        </w:rPr>
        <w:t>2.3 Контекстная диаграмма IDEF0</w:t>
      </w:r>
    </w:p>
    <w:p>
      <w:pPr>
        <w:widowControl/>
        <w:spacing w:before="0" w:after="100" w:line="24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Контекстная диаграмма A-0 на рисунке 1 задаёт границу модели. Стрелки слева обозначают входы, сверху – управляющие воздействия, справа – выходы, снизу – механизмы.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80000" cy="4545720"/>
            <wp:docPr id="298370855" name="Picture 298370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2_IDEF0_A-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54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– Контекстная диаграмма A-0</w:t>
      </w:r>
    </w:p>
    <w:p>
      <w:pPr>
        <w:pStyle w:val="21"/>
        <w:keepNext/>
        <w:keepLines/>
        <w:pageBreakBefore/>
        <w:spacing w:before="240" w:after="120" w:line="36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8"/>
        </w:rPr>
        <w:t>2.4 Декомпозиция процесса</w:t>
      </w:r>
    </w:p>
    <w:p>
      <w:pPr>
        <w:widowControl/>
        <w:spacing w:before="0" w:after="100" w:line="24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На диаграмме A0 основной процесс разложен на пять взаимосвязанных функций. Результат каждой функции служит входом следующей; публикация допускается только после успешного прохождения предыдущих этапов. Декомпозиция показана на рисунке 2.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28000" cy="4464000"/>
            <wp:docPr id="298370856" name="Picture 298370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2_IDEF0_A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– Декомпозиция A0</w:t>
      </w:r>
    </w:p>
    <w:p>
      <w:pPr>
        <w:pStyle w:val="21"/>
        <w:keepNext/>
        <w:keepLines/>
        <w:pageBreakBefore/>
        <w:spacing w:before="240" w:after="120" w:line="36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8"/>
        </w:rPr>
        <w:t>2.5 Детализация процесса формирования BOM</w:t>
      </w:r>
    </w:p>
    <w:p>
      <w:pPr>
        <w:widowControl/>
        <w:spacing w:before="0" w:after="100" w:line="24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Для детализации выбрана функция A2, так как именно в ней связываются обобщённые характеристики карточки, внутренние компоненты и точные модели поставщиков. Детализация A2 приведена на рисунке 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28000" cy="4464000"/>
            <wp:docPr id="298370857" name="Picture 298370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2_IDEF0_A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– Детализация A2 «Сформировать BOM и сопоставить товары»</w:t>
      </w:r>
    </w:p>
    <w:p>
      <w:pPr>
        <w:sectPr>
          <w:footerReference w:type="default" r:id="rId10"/>
          <w:headerReference w:type="default" r:id="rId24"/>
          <w:footerReference w:type="first" r:id="rId25"/>
          <w:type w:val="continuous"/>
          <w:pgSz w:w="16838" w:h="11906" w:code="9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21"/>
        <w:keepNext/>
        <w:keepLines/>
        <w:spacing w:before="240" w:after="120" w:line="36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8"/>
        </w:rPr>
        <w:t>2.6 Операции, исполнители и документы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Состав операций и связанных с ними документов приведён в таблице 2.</w:t>
      </w:r>
    </w:p>
    <w:p>
      <w:pPr>
        <w:keepNext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2 – Операции процесса и связанные документы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</w:tblPr>
      <w:tblGrid>
        <w:gridCol w:w="1786"/>
        <w:gridCol w:w="1786"/>
        <w:gridCol w:w="1786"/>
        <w:gridCol w:w="1786"/>
        <w:gridCol w:w="1786"/>
        <w:gridCol w:w="1786"/>
        <w:gridCol w:w="1786"/>
        <w:gridCol w:w="1786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Диаграмма, операция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Результирующий объект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Операция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Исполнитель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Периодичность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Документы-основания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Реестр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A0 / A1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Запрос и черновик карточки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Зарегистрировать запрос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Менеджер маркетплейсов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 мере необходимости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Решение о товарном предложении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Реестр запросов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Начало процесса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A2 / A21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Основа BOM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Выбрать корпус и характеристики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Технический специалист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Для каждой BOM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Запрос; справочник корпусов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Реестр BOM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Создаётся новая версия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A2 / A22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Состав BOM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Заполнить слоты BOM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Технический специалист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Для каждой BOM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Основа BOM; справочник компонентов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Реестр BOM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Группа или точная модель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A2 / A23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Связи с товарами поставщиков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Сопоставить компоненты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Технический специалист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При новой модели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Товары PC4Games и ITPartner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Реестр сопоставлений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Один компонент может иметь несколько товаров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A2 / A24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Выбранные предложения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Выбрать актуальные цены и наличие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 по правилам приоритета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При обновлении данных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Предложения поставщиков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Реестр предложений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Цена имеет момент актуальности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A2 / A25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Версия BOM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Сохранить версию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Технический специалист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После каждого изменения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Состав и выбранные предложения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Реестр BOM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Передаётся на проверку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A0 / A3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Протокол проверки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Проверить совместимость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ИС; технический специалист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При изменении BOM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Версия BOM; правила совместимости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Журнал проверок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Конфликты возвращаются в A2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A0 / A4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Цена, вес, изображения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Рассчитать и подготовить контент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ИС; дизайнер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После успешной проверки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BOM; цены; правила веса; шаблоны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Реестр карточек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Изменение цены помечает карточку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A0 / A5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Публикация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Проверить и опубликовать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Менеджер маркетплейсов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 готовности карточки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Предварительная карточка; требования Ozon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Журнал публикаций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Ошибка помещается в очередь</w:t>
            </w:r>
          </w:p>
        </w:tc>
      </w:tr>
    </w:tbl>
    <w:p>
      <w:pPr>
        <w:sectPr>
          <w:headerReference w:type="default" r:id="rId26"/>
          <w:footerReference w:type="default" r:id="rId27"/>
          <w:footerReference w:type="first" r:id="rId28"/>
          <w:pgSz w:w="16838" w:h="11906" w:code="9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1"/>
        <w:keepNext/>
        <w:keepLines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8"/>
        </w:rPr>
        <w:t>3 Вывод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В ходе практической работы выделены основные бизнес-процессы ИС формирования и актуализации карточек товаров. Построены контекстная диаграмма A-0, декомпозиция A0 и детализация A2. Модель показывает последовательное преобразование запроса в согласованную версию BOM, проверенную карточку и результат публикации в Ozon.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Формализация операций позволила уточнить границы ответственности: менеджер маркетплейсов управляет жизненным циклом карточки, технический специалист отвечает за BOM и совместимость, дизайнер – за шаблоны и качество изображений, а администратор – за доступ и интеграции. Полученная модель может использоваться как основа для уточнения функциональных требований и проектирования предметно-ориентированной ИС.</w:t>
      </w:r>
    </w:p>
    <w:p>
      <w:pPr>
        <w:pStyle w:val="1"/>
        <w:keepNext/>
        <w:keepLines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1. Проектирование предметно-ориентированных информационных систем. Практическая работа № 2.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2. Албахтин И.В. Реинжиниринг бизнес-процесса «Сопровождение заказов на поставку компьютерных систем» в ООО «Юкомс». Курсовая работа. Москва, 2026.</w:t>
      </w:r>
    </w:p>
    <w:p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sz w:val="28"/>
        </w:rPr>
        <w:t>3. Отчёт по практической работе № 1 по дисциплине «Проектирование предметно-ориентированных информационных систем».</w:t>
      </w:r>
    </w:p>
    <w:sectPr w:rsidR="001830DD" w:rsidRPr="006F6CC9" w:rsidSect="00CA771B">
      <w:headerReference w:type="default" r:id="rId29"/>
      <w:footerReference w:type="default" r:id="rId30"/>
      <w:footerReference w:type="first" r:id="rId31"/>
      <w:pgSz w:w="11906" w:h="16838" w:code="9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D590C" w14:textId="77777777" w:rsidR="00143A86" w:rsidRDefault="00143A86">
      <w:pPr>
        <w:spacing w:line="240" w:lineRule="auto"/>
      </w:pPr>
      <w:r>
        <w:separator/>
      </w:r>
    </w:p>
  </w:endnote>
  <w:endnote w:type="continuationSeparator" w:id="0">
    <w:p w14:paraId="49FAE143" w14:textId="77777777" w:rsidR="00143A86" w:rsidRDefault="00143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87845" w14:textId="77777777" w:rsidR="001830DD" w:rsidRDefault="00143A86">
    <w:pPr>
      <w:pStyle w:val="a7"/>
      <w:spacing w:line="240" w:lineRule="auto"/>
      <w:ind w:left="0" w:right="0" w:firstLine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5BC41" w14:textId="77777777" w:rsidR="00143A86" w:rsidRDefault="00143A86">
      <w:pPr>
        <w:spacing w:line="240" w:lineRule="auto"/>
      </w:pPr>
      <w:r>
        <w:separator/>
      </w:r>
    </w:p>
  </w:footnote>
  <w:footnote w:type="continuationSeparator" w:id="0">
    <w:p w14:paraId="7048EC4B" w14:textId="77777777" w:rsidR="00143A86" w:rsidRDefault="00143A86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C27C9"/>
    <w:multiLevelType w:val="hybridMultilevel"/>
    <w:tmpl w:val="EB34EBE8"/>
    <w:lvl w:ilvl="0" w:tplc="F30A745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9C7464"/>
    <w:multiLevelType w:val="hybridMultilevel"/>
    <w:tmpl w:val="FB7E9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983"/>
    <w:rsid w:val="00034616"/>
    <w:rsid w:val="0006063C"/>
    <w:rsid w:val="00143A86"/>
    <w:rsid w:val="0015074B"/>
    <w:rsid w:val="001830DD"/>
    <w:rsid w:val="001A22BE"/>
    <w:rsid w:val="0029639D"/>
    <w:rsid w:val="00326F90"/>
    <w:rsid w:val="004875DC"/>
    <w:rsid w:val="005D1ECA"/>
    <w:rsid w:val="006F6CC9"/>
    <w:rsid w:val="00736680"/>
    <w:rsid w:val="00A40C57"/>
    <w:rsid w:val="00AA1D8D"/>
    <w:rsid w:val="00B47730"/>
    <w:rsid w:val="00CA77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86BF9"/>
  <w14:defaultImageDpi w14:val="300"/>
  <w15:docId w15:val="{8C4A810A-4085-455F-8032-F8377930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c">
    <w:name w:val="Сетка таблицы2"/>
    <w:basedOn w:val="a3"/>
    <w:next w:val="aff0"/>
    <w:uiPriority w:val="59"/>
    <w:rsid w:val="00CA771B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header" Target="header2.xml"/><Relationship Id="rId23" Type="http://schemas.openxmlformats.org/officeDocument/2006/relationships/footer" Target="footer4.xml"/><Relationship Id="rId24" Type="http://schemas.openxmlformats.org/officeDocument/2006/relationships/header" Target="header3.xml"/><Relationship Id="rId25" Type="http://schemas.openxmlformats.org/officeDocument/2006/relationships/footer" Target="footer5.xml"/><Relationship Id="rId26" Type="http://schemas.openxmlformats.org/officeDocument/2006/relationships/header" Target="header4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header" Target="header5.xml"/><Relationship Id="rId30" Type="http://schemas.openxmlformats.org/officeDocument/2006/relationships/footer" Target="footer8.xml"/><Relationship Id="rId31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2322</Words>
  <Characters>13242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 по ППОИС</vt:lpstr>
      <vt:lpstr/>
    </vt:vector>
  </TitlesOfParts>
  <Manager/>
  <Company/>
  <LinksUpToDate>false</LinksUpToDate>
  <CharactersWithSpaces>15533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 по ППОИС</dc:title>
  <dc:subject>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</dc:subject>
  <dc:creator>Албахтин Илья Владиславович</dc:creator>
  <cp:keywords/>
  <dc:description>generated by python-docx</dc:description>
  <cp:lastModifiedBy>VeX EveryOne</cp:lastModifiedBy>
  <cp:revision>6</cp:revision>
  <dcterms:created xsi:type="dcterms:W3CDTF">2013-12-23T23:15:00Z</dcterms:created>
  <dcterms:modified xsi:type="dcterms:W3CDTF">2026-09-16T15:47:00Z</dcterms:modified>
  <cp:category/>
</cp:coreProperties>
</file>