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pStyle w:val="Title"/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Борзых Н.Ю.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33"/>
          <w:footerReference w:type="default" r:id="rId34"/>
          <w:footerReference w:type="first" r:id="rId35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 w:val="0"/>
      </w:pPr>
      <w:r>
        <w:t>ПРАКТИЧЕСКАЯ РАБОТА № 3</w:t>
      </w:r>
    </w:p>
    <w:p>
      <w:pPr>
        <w:pStyle w:val="ReportBody"/>
        <w:ind w:firstLine="0"/>
        <w:jc w:val="center"/>
      </w:pPr>
      <w:r>
        <w:t>Формирование функциональных требований к ИС</w:t>
        <w:br/>
        <w:t>Объектный анализ и модель анализа</w:t>
      </w:r>
    </w:p>
    <w:p>
      <w:pPr>
        <w:pStyle w:val="1"/>
        <w:pageBreakBefore w:val="0"/>
      </w:pPr>
      <w:r>
        <w:t>1 Цель и постановка задачи</w:t>
      </w:r>
    </w:p>
    <w:p>
      <w:pPr>
        <w:pStyle w:val="ReportBody"/>
      </w:pPr>
      <w:r>
        <w:t>Цель работы — выполнить концептуальное и динамическое моделирование предметной области при разработке информационной системы формирования и актуализации карточек товаров компьютерных систем ООО «Юкомс».</w:t>
      </w:r>
    </w:p>
    <w:p>
      <w:pPr>
        <w:pStyle w:val="ReportBody"/>
      </w:pPr>
      <w:r>
        <w:t>По материалам практик № 1 и № 2 необходимо построить диаграммы вариантов использования, классов анализа, последовательности для двух сценариев и кооперации, а также таблицы взаимодействий [1–3].</w:t>
      </w:r>
    </w:p>
    <w:p>
      <w:pPr>
        <w:pStyle w:val="1"/>
        <w:pageBreakBefore w:val="0"/>
      </w:pPr>
      <w:r>
        <w:t>2 Границы системы и участники</w:t>
      </w:r>
    </w:p>
    <w:p>
      <w:pPr>
        <w:pStyle w:val="ReportBody"/>
      </w:pPr>
      <w:r>
        <w:t>Система управляет составом компьютерных конфигураций BOM, предложениями поставщиков и данными карточек Ozon. Закупки, сборка компьютеров, бухгалтерский учёт и доставка находятся за границами модели. Участники и их цели приведены в таблице 1.</w:t>
      </w:r>
    </w:p>
    <w:p>
      <w:pPr>
        <w:pStyle w:val="ReportTableCaption"/>
      </w:pPr>
      <w:r>
        <w:t>Таблица 1 – Актёры проектируемой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Цель взаимодействия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Зарегистрировать запрос, обновить данные поставщиков и опубликовать карточку.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Сформировать BOM, проверить совместимость и заменить компоненты.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Подготовить контент и настроить шаблоны изображений.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Настроить права доступа и параметры интеграций.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Передать ассортимент, характеристики, цены и наличие.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Принять карточку и вернуть результат обработки.</w:t>
            </w:r>
          </w:p>
        </w:tc>
      </w:tr>
    </w:tbl>
    <w:p>
      <w:pPr>
        <w:pStyle w:val="ReportBody"/>
      </w:pPr>
      <w:r>
        <w:t>BOM — спецификация состава компьютерной системы. На рисунке 1 приведены варианты использования и граница системы.</w:t>
      </w:r>
    </w:p>
    <w:p>
      <w:pPr>
        <w:spacing w:before="0" w:after="0" w:line="20" w:lineRule="exact"/>
        <w:sectPr>
          <w:headerReference w:type="default" r:id="rId36"/>
          <w:footerReference w:type="default" r:id="rId37"/>
          <w:footerReference w:type="first" r:id="rId38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3 Диаграмма вариантов использования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892000" cy="5106972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3_01_Варианты_использования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10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1 – Варианты использования информационной системы</w:t>
      </w:r>
    </w:p>
    <w:p>
      <w:pPr>
        <w:spacing w:before="0" w:after="0" w:line="20" w:lineRule="exact"/>
        <w:sectPr>
          <w:headerReference w:type="default" r:id="rId39"/>
          <w:footerReference w:type="default" r:id="rId40"/>
          <w:footerReference w:type="first" r:id="rId41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3.1 Взаимодействия актёров и вариантов использования</w:t>
      </w:r>
    </w:p>
    <w:p>
      <w:pPr>
        <w:pStyle w:val="ReportBody"/>
      </w:pPr>
      <w:r>
        <w:t>Описание связей рисунка 1 приведено в таблице 2. Ассоциация обозначает участие актёра в сценарии. Связь «include» направлена от основного варианта к обязательной общей проверке; она не задаёт очередность выполнения самостоятельных сценариев.</w:t>
      </w:r>
    </w:p>
    <w:p>
      <w:pPr>
        <w:pStyle w:val="ReportTableCaption"/>
      </w:pPr>
      <w:r>
        <w:t>Таблица 2 – Описание взаимодействий актёров и вариантов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464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 / ВИ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связи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 использования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 — зарегистрировать запрос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 — рассчитать цену, вес и подготовить контент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UC09 — настроить шаблоны изображений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UC10 — настроить доступ и интеграции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UC08 — проверить готовность карточки</w:t>
            </w:r>
          </w:p>
        </w:tc>
      </w:tr>
    </w:tbl>
    <w:p>
      <w:pPr>
        <w:pStyle w:val="ReportBody"/>
      </w:pPr>
      <w:r>
        <w:t>UC02 и UC05 детализируются далее как два ключевых сценария. UC04 создаёт новые версии затронутых BOM после подтверждения области замены. UC07 использует согласованную BOM; публикация выполняется отдельным действием менеджера.</w:t>
      </w:r>
    </w:p>
    <w:p>
      <w:pPr>
        <w:pStyle w:val="ReportBody"/>
      </w:pPr>
      <w:r>
        <w:t>На рисунке 2 представлены классы анализа для формирования BOM и публикации карточки. Модель разделяет интерфейсы взаимодействия, управление сценариями и объекты предметной области.</w:t>
      </w:r>
    </w:p>
    <w:p>
      <w:pPr>
        <w:spacing w:before="0" w:after="0" w:line="20" w:lineRule="exact"/>
        <w:sectPr>
          <w:headerReference w:type="default" r:id="rId42"/>
          <w:footerReference w:type="default" r:id="rId43"/>
          <w:footerReference w:type="first" r:id="rId44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4 Диаграмма классов анализа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100000" cy="51732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3_02_Классы_анализ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51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2 – Классы анализа двух ключевых сценариев</w:t>
      </w:r>
    </w:p>
    <w:p>
      <w:pPr>
        <w:spacing w:before="0" w:after="0" w:line="20" w:lineRule="exact"/>
        <w:sectPr>
          <w:headerReference w:type="default" r:id="rId45"/>
          <w:footerReference w:type="default" r:id="rId46"/>
          <w:footerReference w:type="first" r:id="rId47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4.1 Ответственность классов и ограничения</w:t>
      </w:r>
    </w:p>
    <w:p>
      <w:pPr>
        <w:pStyle w:val="ReportBody"/>
      </w:pPr>
      <w:r>
        <w:t>Классы «boundary» представляют формы и внешнюю интеграцию, «control» координируют сценарии, «entity» хранят предметные данные. Назначение классов рисунка 2 приведено в таблице 3.</w:t>
      </w:r>
    </w:p>
    <w:p>
      <w:pPr>
        <w:pStyle w:val="ReportTableCaption"/>
      </w:pPr>
      <w:r>
        <w:t>Таблица 3 – Ответственность классов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361"/>
        <w:gridCol w:w="5556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Класс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Стереотип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состав конфигурации и показывает результат проверки.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команду публикации и показывает статус.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Передаёт данные и приводит ответ внешнего сервиса к результату сценария.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состав по правилам и сохраняет согласованную версию.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готовность, организует обмен и фиксирует результат.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номер версии, статус и состав конфигурации.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Слот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Описывает тип, количество и группу либо точную модель компонента.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модель, цену, наличие и момент актуальности.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Определяет ограничения на сочетания компонентов.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Связывает атрибуты, цену и изображения с одной версией BOM.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Фиксирует запрос, ответ, время и результат отдельной попытки.</w:t>
            </w:r>
          </w:p>
        </w:tc>
      </w:tr>
    </w:tbl>
    <w:p>
      <w:pPr>
        <w:pStyle w:val="ReportBody"/>
      </w:pPr>
      <w:r>
        <w:t>Версия BOM содержит один или несколько слотов (композиция). Каждый слот принадлежит одной версии и имеет не более одного выбранного предложения. Для согласованной BOM предложение обязательно; одно предложение может использоваться в нескольких BOM.</w:t>
      </w:r>
    </w:p>
    <w:p>
      <w:pPr>
        <w:pStyle w:val="ReportBody"/>
      </w:pPr>
      <w:r>
        <w:t>Карточка ссылается на одну версию BOM и имеет историю попыток публикации. Изменение BOM создаёт новую версию; связанные карточки требуют актуализации.</w:t>
      </w:r>
    </w:p>
    <w:p>
      <w:pPr>
        <w:spacing w:before="0" w:after="0" w:line="20" w:lineRule="exact"/>
        <w:sectPr>
          <w:headerReference w:type="default" r:id="rId48"/>
          <w:footerReference w:type="default" r:id="rId49"/>
          <w:footerReference w:type="first" r:id="rId50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5 Динамическая модель</w:t>
      </w:r>
    </w:p>
    <w:p>
      <w:pPr>
        <w:pStyle w:val="Heading2"/>
        <w:pageBreakBefore w:val="0"/>
      </w:pPr>
      <w:r>
        <w:t>5.1 Последовательность формирования BOM</w:t>
      </w:r>
    </w:p>
    <w:p>
      <w:pPr>
        <w:pStyle w:val="ReportBody"/>
      </w:pPr>
      <w:r>
        <w:t>На рисунке 3 показано формирование BOM по зарегистрированному запросу и выбранному корпусу.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316000" cy="4421340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3_03_Последовательность_UC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316000" cy="442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</w:t>
      </w:r>
    </w:p>
    <w:p>
      <w:pPr>
        <w:pStyle w:val="Heading2"/>
        <w:pageBreakBefore/>
      </w:pPr>
      <w:r>
        <w:t>5.2 Сообщения сценария UC02</w:t>
      </w:r>
    </w:p>
    <w:p>
      <w:pPr>
        <w:pStyle w:val="ReportBody"/>
      </w:pPr>
      <w:r>
        <w:t>В таблице 4 приведены сообщения рисунка 3. Все вызовы синхронные. Шаги 8–11 и 12–13 — альтернативные ветви.</w:t>
      </w:r>
    </w:p>
    <w:p>
      <w:pPr>
        <w:pStyle w:val="ReportTableCaption"/>
      </w:pPr>
      <w:r>
        <w:t>Таблица 4 – Взаимодействие элементов диаграммы последовательности UC02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Ввести состав и сохранить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Сформировать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Получить актуальные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Проверить состав и совместимость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Создать версию и слоты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Идентификатор версии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Версия сохранена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Показать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Перечень конфликтов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</w:tbl>
    <w:p>
      <w:pPr>
        <w:pStyle w:val="ReportBody"/>
      </w:pPr>
      <w:r>
        <w:t>Контроллер проверяет заполнение обязательных слотов, совместимость и наличие допустимого предложения. Ошибки блокируют сохранение согласованной версии. Получение предложений использует данные, обновлённые в UC06; если они недоступны или устарели, специалисту возвращается замечание.</w:t>
      </w:r>
    </w:p>
    <w:p>
      <w:pPr>
        <w:pStyle w:val="Heading2"/>
        <w:pageBreakBefore/>
      </w:pPr>
      <w:r>
        <w:t>5.3 Последовательность публикации карточки</w:t>
      </w:r>
    </w:p>
    <w:p>
      <w:pPr>
        <w:pStyle w:val="ReportBody"/>
      </w:pPr>
      <w:r>
        <w:t>На рисунке 4 показана публикация подготовленной карточки с проверкой её готовности к отправке.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208000" cy="4883760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3_04_Последовательность_UC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08000" cy="488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</w:t>
      </w:r>
    </w:p>
    <w:p>
      <w:pPr>
        <w:pStyle w:val="Heading2"/>
        <w:pageBreakBefore/>
      </w:pPr>
      <w:r>
        <w:t>5.4 Сообщения сценария UC05</w:t>
      </w:r>
    </w:p>
    <w:p>
      <w:pPr>
        <w:pStyle w:val="ReportBody"/>
      </w:pPr>
      <w:r>
        <w:t>В таблице 5 приведены сообщения рисунка 4. Все вызовы синхронные. Ветвь 6–14 — готовая карточка, 15–16 — ошибки готовности.</w:t>
      </w:r>
    </w:p>
    <w:p>
      <w:pPr>
        <w:pStyle w:val="ReportTableCaption"/>
      </w:pPr>
      <w:r>
        <w:t>Таблица 5 – Взаимодействие элементов диаграммы последовательности UC05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Запросить публикацию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Опубликовать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снимок карточки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Снимок и версия BOM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Проверить готовность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Создать запись «отправка»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Передать снимок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Отправить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Результат или ошибка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Результат обмена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Сохранить результат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Обновить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Итог публикации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14. Показать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15. Ошибки готовности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16.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</w:tbl>
    <w:p>
      <w:pPr>
        <w:pStyle w:val="1"/>
        <w:pageBreakBefore/>
      </w:pPr>
      <w:r>
        <w:t>6 Диаграмма кооперации</w:t>
      </w:r>
    </w:p>
    <w:p>
      <w:pPr>
        <w:pStyle w:val="ReportBody"/>
      </w:pPr>
      <w:r>
        <w:t>На рисунке 5 показана ветвь готовой карточки. Сообщения 1–14 соответствуют таблице 5.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460000" cy="4746060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3_05_Кооперация_UC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74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5 – Кооперация объектов при публикации карточки</w:t>
      </w:r>
    </w:p>
    <w:p>
      <w:pPr>
        <w:spacing w:before="0" w:after="0" w:line="20" w:lineRule="exact"/>
        <w:sectPr>
          <w:headerReference w:type="default" r:id="rId51"/>
          <w:footerReference w:type="default" r:id="rId52"/>
          <w:footerReference w:type="first" r:id="rId53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7 Согласованность модели и функциональные требования</w:t>
      </w:r>
    </w:p>
    <w:p>
      <w:pPr>
        <w:pStyle w:val="ReportBody"/>
      </w:pPr>
      <w:r>
        <w:t>В UC05 попытка регистрируется до отправки. Адаптер представляет обмен с Ozon как одну операцию анализа; при отложенной обработке итог уточняется отдельно. Подтверждённый приём даёт статус «опубликована», отказ — «ошибка публикации», отсутствие окончательного ответа — «ожидает подтверждения».</w:t>
      </w:r>
    </w:p>
    <w:p>
      <w:pPr>
        <w:pStyle w:val="ReportBody"/>
      </w:pPr>
      <w:r>
        <w:t>Статическая и динамическая модели используют одни и те же классы. Формы обращаются к контроллерам; внешнее взаимодействие проходит через адаптер, а результат сохраняется в предметных объектах. В таблице 6 показана связь модели анализа с функциями IDEF0 второй практической работы.</w:t>
      </w:r>
    </w:p>
    <w:p>
      <w:pPr>
        <w:pStyle w:val="ReportTableCaption"/>
      </w:pPr>
      <w:r>
        <w:t>Таблица 6 – Трассировка функций IDEF0 и модели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438"/>
        <w:gridCol w:w="396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Функция IDEF0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Варианты использования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A1 — инициировать карточку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Запрос и черновик карточки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A2 — сформировать BOM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UC02, UC04, UC06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Состав и версия BOM с предложениями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A3 — проверить совместимость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Согласованная BOM либо список конфликтов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A4 — рассчитать и подготовить контент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UC07, UC09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Цена, вес, изображения и атрибуты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A5 — проверить и опубликовать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UC05, UC08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Статус карточки и запись публикации</w:t>
            </w:r>
          </w:p>
        </w:tc>
      </w:tr>
    </w:tbl>
    <w:p>
      <w:pPr>
        <w:pStyle w:val="ReportBody"/>
      </w:pPr>
      <w:r>
        <w:t>UC10 обеспечивает доступ и работоспособность интеграций для всех функций. Отдельного блока основного потока IDEF0 ему не соответствует: он поддерживает механизмы выполнения процесса.</w:t>
      </w:r>
    </w:p>
    <w:p>
      <w:pPr>
        <w:pStyle w:val="Heading2"/>
        <w:pageBreakBefore w:val="0"/>
      </w:pPr>
      <w:r>
        <w:t>7.1 Уточнённые требования</w:t>
      </w:r>
    </w:p>
    <w:p>
      <w:pPr>
        <w:pStyle w:val="ReportBody"/>
      </w:pPr>
      <w:r>
        <w:t>ФТ-01. При сохранении BOM система должна проверить обязательные слоты, совместимость и выбранные предложения. При наличии ошибок согласованная версия не создаётся, а пользователь получает замечания по конкретным слотам.</w:t>
      </w:r>
    </w:p>
    <w:p>
      <w:pPr>
        <w:pStyle w:val="ReportBody"/>
      </w:pPr>
      <w:r>
        <w:t>ФТ-02. Массовая замена должна показывать затронутые BOM до подтверждения, создавать новые версии и помечать связанные карточки как требующие актуализации.</w:t>
      </w:r>
    </w:p>
    <w:p>
      <w:pPr>
        <w:pStyle w:val="ReportBody"/>
      </w:pPr>
      <w:r>
        <w:t>ФТ-03. Публикация допускается только для готовой карточки. Перед отправкой создаётся запись попытки с идентификатором карточки и версии; после обмена сохраняются ответ и итоговый статус.</w:t>
      </w:r>
    </w:p>
    <w:p>
      <w:pPr>
        <w:pStyle w:val="ReportBody"/>
      </w:pPr>
      <w:r>
        <w:t>ФТ-04. Ошибка внешнего обмена не должна удалять подготовленные данные. До повторной отправки система должна проверить результат предыдущей попытки, если он не был подтверждён, и показать менеджеру доступное действие.</w:t>
      </w:r>
    </w:p>
    <w:p>
      <w:pPr>
        <w:pStyle w:val="1"/>
        <w:pageBreakBefore w:val="0"/>
      </w:pPr>
      <w:r>
        <w:t>8 Вывод</w:t>
      </w:r>
    </w:p>
    <w:p>
      <w:pPr>
        <w:pStyle w:val="ReportBody"/>
      </w:pPr>
      <w:r>
        <w:t>Разработана модель анализа ИС ООО «Юкомс»: шесть типов актёров, десять вариантов использования, классы анализа, две диаграммы последовательности и диаграмма кооперации. Описаны условия сохранения BOM, проверки готовности карточки и фиксации результата публикации.</w:t>
      </w:r>
    </w:p>
    <w:p>
      <w:pPr>
        <w:pStyle w:val="ReportBody"/>
      </w:pPr>
      <w:r>
        <w:t>Таблицы взаимодействий согласованы с диаграммами и функциями IDEF0. Результаты служат основой для проектирования компонентов, базы данных и интерфейсов системы.</w:t>
      </w:r>
    </w:p>
    <w:p>
      <w:pPr>
        <w:pStyle w:val="1"/>
        <w:pageBreakBefore w:val="0"/>
      </w:pPr>
      <w:r>
        <w:t>Список использованных источников</w:t>
      </w:r>
    </w:p>
    <w:p>
      <w:pPr>
        <w:pStyle w:val="ReportBody"/>
      </w:pPr>
      <w:r>
        <w:t>1. ППОИС. Практическая работа № 3. Объектный анализ. Модель анализа. Методические материалы.</w:t>
      </w:r>
    </w:p>
    <w:p>
      <w:pPr>
        <w:pStyle w:val="ReportBody"/>
      </w:pPr>
      <w:r>
        <w:t>2. Албахтин И.В. ППОИС. Отчёт по практической работе № 1. Москва, 2026.</w:t>
      </w:r>
    </w:p>
    <w:p>
      <w:pPr>
        <w:pStyle w:val="ReportBody"/>
      </w:pPr>
      <w:r>
        <w:t>3. Албахтин И.В. ППОИС. Отчёт по практической работе № 2. Москва, 2026.</w:t>
      </w:r>
    </w:p>
    <w:sectPr w:rsidR="004651E5" w:rsidRPr="002A2FAC" w:rsidSect="002A2FAC">
      <w:headerReference w:type="default" r:id="rId54"/>
      <w:footerReference w:type="default" r:id="rId55"/>
      <w:footerReference w:type="first" r:id="rId56"/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 w:val="0"/>
      <w:widowControl/>
      <w:spacing w:after="120" w:line="360" w:lineRule="auto" w:before="24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keepNext w:val="0"/>
      <w:keepLines w:val="0"/>
      <w:pageBreakBefore w:val="0"/>
      <w:widowControl/>
      <w:spacing w:before="0" w:after="0" w:line="360" w:lineRule="auto"/>
      <w:ind w:left="0" w:right="0"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ReportTable">
    <w:name w:val="ReportTable"/>
    <w:pPr>
      <w:keepNext w:val="0"/>
      <w:keepLines w:val="0"/>
      <w:pageBreakBefore w:val="0"/>
      <w:widowControl/>
      <w:spacing w:before="0" w:after="0" w:line="240" w:lineRule="auto"/>
      <w:ind w:left="0" w:right="0" w:firstLine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ReportTableCaption">
    <w:name w:val="ReportTableCaption"/>
    <w:pPr>
      <w:keepNext/>
      <w:keepLines w:val="0"/>
      <w:pageBreakBefore w:val="0"/>
      <w:widowControl/>
      <w:spacing w:before="120" w:after="60" w:line="240" w:lineRule="auto"/>
      <w:ind w:left="0" w:right="0" w:firstLine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ReportFigure">
    <w:name w:val="ReportFigure"/>
    <w:pPr>
      <w:keepNext w:val="0"/>
      <w:keepLines/>
      <w:pageBreakBefore w:val="0"/>
      <w:widowControl/>
      <w:spacing w:before="60" w:after="120" w:line="240" w:lineRule="auto"/>
      <w:ind w:left="0" w:right="0" w:firstLine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pageBreakBefore w:val="0"/>
      <w:widowControl/>
      <w:spacing w:before="240" w:after="120" w:line="360" w:lineRule="auto"/>
      <w:ind w:left="0" w:right="0" w:firstLine="0"/>
      <w:jc w:val="left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header" Target="header2.xml"/><Relationship Id="rId37" Type="http://schemas.openxmlformats.org/officeDocument/2006/relationships/footer" Target="footer3.xml"/><Relationship Id="rId38" Type="http://schemas.openxmlformats.org/officeDocument/2006/relationships/footer" Target="footer4.xml"/><Relationship Id="rId39" Type="http://schemas.openxmlformats.org/officeDocument/2006/relationships/header" Target="header3.xml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header" Target="header4.xml"/><Relationship Id="rId43" Type="http://schemas.openxmlformats.org/officeDocument/2006/relationships/footer" Target="footer7.xml"/><Relationship Id="rId44" Type="http://schemas.openxmlformats.org/officeDocument/2006/relationships/footer" Target="footer8.xml"/><Relationship Id="rId45" Type="http://schemas.openxmlformats.org/officeDocument/2006/relationships/header" Target="header5.xml"/><Relationship Id="rId46" Type="http://schemas.openxmlformats.org/officeDocument/2006/relationships/footer" Target="footer9.xml"/><Relationship Id="rId47" Type="http://schemas.openxmlformats.org/officeDocument/2006/relationships/footer" Target="footer10.xml"/><Relationship Id="rId48" Type="http://schemas.openxmlformats.org/officeDocument/2006/relationships/header" Target="header6.xml"/><Relationship Id="rId49" Type="http://schemas.openxmlformats.org/officeDocument/2006/relationships/footer" Target="footer11.xml"/><Relationship Id="rId50" Type="http://schemas.openxmlformats.org/officeDocument/2006/relationships/footer" Target="footer12.xml"/><Relationship Id="rId51" Type="http://schemas.openxmlformats.org/officeDocument/2006/relationships/header" Target="header7.xml"/><Relationship Id="rId52" Type="http://schemas.openxmlformats.org/officeDocument/2006/relationships/footer" Target="footer13.xml"/><Relationship Id="rId53" Type="http://schemas.openxmlformats.org/officeDocument/2006/relationships/footer" Target="footer14.xml"/><Relationship Id="rId54" Type="http://schemas.openxmlformats.org/officeDocument/2006/relationships/header" Target="header8.xml"/><Relationship Id="rId55" Type="http://schemas.openxmlformats.org/officeDocument/2006/relationships/footer" Target="footer15.xml"/><Relationship Id="rId56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