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  <w:shd w:val="clear" w:color="auto" w:fill="FFFFFF"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ascii="Times New Roman" w:hAnsi="Times New Roman" w:cs="Times New Roman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  <w:shd w:val="clear" w:color="auto" w:fill="FFFFFF"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cs="Times New Roman" w:ascii="Times New Roman" w:hAnsi="Times New Roman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Times New Roman" w:ascii="Times New Roman" w:hAnsi="Times New Roman" w:cs="Times New Roman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Times New Roman" w:ascii="Times New Roman" w:hAnsi="Times New Roman" w:cs="Times New Roman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pStyle w:val="Title"/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32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 w:val="32"/>
          <w:lang w:eastAsia="zh-CN" w:bidi="hi-IN"/>
          <w14:ligatures w14:val="none"/>
        </w:rPr>
        <w:t>ОТЧЕТ ПО ПРАКТИЧЕСКОЙ РАБОТЕ № 4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  <w:shd w:val="clear" w:color="auto" w:fill="FFFFFF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clear" w:color="auto" w:fill="FFFFFF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  <w:shd w:val="clear" w:color="auto" w:fill="FFFFFF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  <w:shd w:val="clear" w:color="auto" w:fill="FFFFFF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clear" w:color="auto" w:fill="FFFFFF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Борзых Н.Ю.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clear" w:color="auto" w:fill="FFFFFF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  <w:shd w:val="clear" w:color="auto" w:fill="FFFFFF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  <w:shd w:val="clear" w:color="auto" w:fill="FFFFFF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clear" w:color="auto" w:fill="FFFFFF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default" r:id="rId33"/>
          <w:footerReference w:type="default" r:id="rId34"/>
          <w:footerReference w:type="first" r:id="rId35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  <w:r w:rsidRPr="00867FE9">
        <w:rPr>
          <w:rFonts w:ascii="Times New Roman" w:eastAsia="Times New Roman" w:hAnsi="Times New Roman" w:cs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№ 4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Объектный анализ. Модель проектирования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 Цель и индивидуальное задание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работы — детализировать статическую структуру и поведение информационной системы формирования и актуализации карточек компьютерных систем ООО «Юкомс», продолжая модели практических работ № 1–3.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Индивидуальное задание: построить диаграммы классов проектирования, деятельности и состояний; определить типы атрибутов и операций, кратности связей, параллельные действия, условия проверки и безопасного повторения внешних операций.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 Этапы выполнения работы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Классы анализа уточнены до классов-сущностей, границ и управления; для них определены типизированные данные и операции.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Уточнены групповые и точные позиции BOM, условия выбора предложений и неизменяемые снимки ревизий.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Независимая подготовка состава и обновление предложений разделены параллельно; зависимые проверки, расчёты и подготовка содержания выполняются после синхронизации.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В жизненном цикле отделены приём задачи, подтверждённая публикация, окончательный отказ, временная ошибка и неизвестный исход.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5. Классы, действия и переходы сопоставлены с функциями IDEF0 и сообщениями UC02/UC05.</w:t>
      </w:r>
    </w:p>
    <w:p>
      <w:pPr>
        <w:keepNext w:val="0"/>
        <w:spacing w:before="0" w:after="0" w:line="20" w:lineRule="exact"/>
        <w:sectPr>
          <w:headerReference w:type="default" r:id="rId54"/>
          <w:footerReference w:type="default" r:id="rId55"/>
          <w:footerReference w:type="first" r:id="rId56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</w:rPr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 Диаграммы классов проектирования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1 показана модель «Классы конфигураций, позиций BOM и предложений».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9072000" cy="4468262"/>
            <wp:docPr id="298370852" name="Picture 2983708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ПР4_01_Классы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468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Классы конфигураций, позиций BOM и предложений</w:t>
      </w:r>
    </w:p>
    <w:p>
      <w:pPr>
        <w:keepNext/>
        <w:keepLines w:val="0"/>
        <w:pageBreakBefore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2 показана модель «Классы ревизий и попыток публикации».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9072000" cy="3955392"/>
            <wp:docPr id="298370853" name="Picture 2983708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ПР4_02_Классы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955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Классы ревизий и попыток публикации</w:t>
      </w:r>
    </w:p>
    <w:p>
      <w:pPr>
        <w:keepNext/>
        <w:keepLines w:val="0"/>
        <w:pageBreakBefore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3 показана модель «Границы и управление подготовкой состава».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8895083" cy="4680000"/>
            <wp:docPr id="298370854" name="Picture 2983708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ПР4_03_Классы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895083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Границы и управление подготовкой состава</w:t>
      </w:r>
    </w:p>
    <w:p>
      <w:pPr>
        <w:keepNext/>
        <w:keepLines w:val="0"/>
        <w:pageBreakBefore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4 показана модель «Границы и управление публикацией».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8409199" cy="4680000"/>
            <wp:docPr id="298370855" name="Picture 2983708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ПР4_04_Классы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8409199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Границы и управление публикацией</w:t>
      </w:r>
    </w:p>
    <w:p>
      <w:pPr>
        <w:keepNext w:val="0"/>
        <w:spacing w:before="0" w:after="0" w:line="20" w:lineRule="exact"/>
        <w:sectPr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</w:rPr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разделена на четыре представления одного состава классов. Повторное изображение класса на другом листе не создаёт новый класс. Классы-сущности имеют идентификатор id: UUID с ограничением {PK}. Инкапсулированные атрибуты закрыты, операции открыты. Формы не содержат бизнес-правил.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1.</w:t>
      </w:r>
    </w:p>
    <w:p>
      <w:pPr>
        <w:keepNext/>
        <w:keepLines w:val="0"/>
        <w:pageBreakBefore w:val="0"/>
        <w:widowControl/>
        <w:spacing w:before="120" w:after="6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1 – Описание классов проектирования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  <w:tblCellMar>
          <w:top w:w="65" w:type="dxa"/>
          <w:bottom w:w="65" w:type="dxa"/>
          <w:left w:w="85" w:type="dxa"/>
          <w:right w:w="85" w:type="dxa"/>
        </w:tblCellMar>
      </w:tblPr>
      <w:tblGrid>
        <w:gridCol w:w="2551"/>
        <w:gridCol w:w="1361"/>
        <w:gridCol w:w="544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361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Стереотип</w:t>
            </w:r>
          </w:p>
        </w:tc>
        <w:tc>
          <w:tcPr>
            <w:tcW w:type="dxa" w:w="5443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Конфигурация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модельного ряда; поиск затронутых конфигураций.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состава и результат проверки; после использования в ревизии её состав не меняется.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Позиция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Роль и количество; режим GROUP или EXACT; выбор конкретного предложения.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Группа комплектующих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Ограничения выбора, например чипсет B650; не является конкретным товаром.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Комплектующая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Нормализованные технические характеристики и масса конкретной модели.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Предложение поставщика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Цена, наличие и время получения предложения конкретного поставщика.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товара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Постоянный код предложения продавца; история ревизий.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Ревизия карточки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Неизменяемый снимок проверенного состава, цены, массы, атрибутов и изображений.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Изображение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Адрес файла и контрольная сумма; одна картинка может использоваться в разных ревизиях.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Попытка публикации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Идентификатор попытки и внешней задачи, состояние и замечания; прошлые попытки сохраняются.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boundary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черновика и показ замечаний; передача команды управлению BOM.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boundary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Подтверждение отправки ревизии и показ состояния попытки.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Шлюз маркетплейса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boundary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Подготовка внешнего запроса, отправка и сверка результата. credentialRef — ссылка на секрет, не сам ключ.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Управление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control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Версионирование, разрешение слотов и предварительный просмотр массовой замены.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совместимости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control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конкретных моделей по сокету, габаритам, питанию и интерфейсам.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 показателей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control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 себестоимости, цены и массы по выбранным актуальным предложениям.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готовности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control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совместимости, актуальности, обязательных полей и изображений.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Управление публикацией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control</w:t>
            </w:r>
          </w:p>
        </w:tc>
        <w:tc>
          <w:tcPr>
            <w:tcW w:type="dxa" w:w="5443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Регистрация попытки до отправки, классификация результата, сверка и ограниченные повторы.</w:t>
            </w:r>
          </w:p>
        </w:tc>
      </w:tr>
    </w:tbl>
    <w:p>
      <w:pPr>
        <w:pStyle w:val="Heading2"/>
        <w:keepNext/>
        <w:keepLines/>
        <w:pageBreakBefore w:val="0"/>
        <w:widowControl/>
        <w:spacing w:before="240" w:after="120" w:line="36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3.1 Типы данных и ограничения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UUID — внутренний уникальный идентификатор; Integer — целое число; Decimal — точное десятичное число; DateTime — момент времени с часовым поясом; JSON — структурированная коллекция, а не строка произвольного текста. Boolean задаёт логическое условие. Void означает отсутствие возвращаемого значения. Необязательные значения, например externalTaskId до получения ответа, допускают отсутствие; отсутствие не заменяется пустым фиктивным идентификатором.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2.</w:t>
      </w:r>
    </w:p>
    <w:p>
      <w:pPr>
        <w:keepNext/>
        <w:keepLines w:val="0"/>
        <w:pageBreakBefore w:val="0"/>
        <w:widowControl/>
        <w:spacing w:before="120" w:after="6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2 – Структура значимых входных и выходных типов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  <w:tblCellMar>
          <w:top w:w="65" w:type="dxa"/>
          <w:bottom w:w="65" w:type="dxa"/>
          <w:left w:w="85" w:type="dxa"/>
          <w:right w:w="85" w:type="dxa"/>
        </w:tblCellMar>
      </w:tblPr>
      <w:tblGrid>
        <w:gridCol w:w="2494"/>
        <w:gridCol w:w="6860"/>
      </w:tblGrid>
      <w:tr>
        <w:trPr>
          <w:cantSplit/>
          <w:tblHeader/>
        </w:trPr>
        <w:tc>
          <w:tcPr>
            <w:tcW w:type="dxa" w:w="2494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6860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Состав и правила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CheckResult</w:t>
            </w:r>
          </w:p>
        </w:tc>
        <w:tc>
          <w:tcPr>
            <w:tcW w:type="dxa" w:w="686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isValid: Boolean; errors: коллекция {slotId?: UUID, code: String, message: String}. Ошибка содержит проверяемое условие и адресата исправления.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CalculationResult</w:t>
            </w:r>
          </w:p>
        </w:tc>
        <w:tc>
          <w:tcPr>
            <w:tcW w:type="dxa" w:w="686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costRub: Decimal, priceRub: Decimal, massKg: Decimal, computedAt: DateTime. Рубли и килограммы; цена и масса положительны.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PreparedRequest</w:t>
            </w:r>
          </w:p>
        </w:tc>
        <w:tc>
          <w:tcPr>
            <w:tcW w:type="dxa" w:w="686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revisionId: UUID; payload: JSON; checksum: String. Запрос строится только из одного сохранённого снимка.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ExternalResult</w:t>
            </w:r>
          </w:p>
        </w:tc>
        <w:tc>
          <w:tcPr>
            <w:tcW w:type="dxa" w:w="686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kind: ACCEPTED / SUCCESS / REJECTED / TRANSIENT / UNKNOWN; taskId?: String; errors: коллекция замечаний. ACCEPTED не равен SUCCESS.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JSON-параметр formVersion</w:t>
            </w:r>
          </w:p>
        </w:tc>
        <w:tc>
          <w:tcPr>
            <w:tcW w:type="dxa" w:w="686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configurationId: UUID; slots: коллекция {roleCode, selectionMode, groupId?, componentId?, quantity}. Для EXACT задана конкретная модель; для GROUP задана группа.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Количество позиции — целое число больше нуля; цена предложения неотрицательна; наличие — целое число не меньше нуля. В черновике допускаются незаполненные позиции. Для состояния CHECKED каждая обязательная роль присутствует, группа разрешена в конкретную комплектующую, выбрано актуальное предложение той же модели и проверена совместимость. Для EXACT group отсутствует; для GROUP выбранная модель удовлетворяет ограничениям группы. Внутренние статусы не являются названиями полей внешнего API.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3.</w:t>
      </w:r>
    </w:p>
    <w:p>
      <w:pPr>
        <w:keepNext/>
        <w:keepLines w:val="0"/>
        <w:pageBreakBefore w:val="0"/>
        <w:widowControl/>
        <w:spacing w:before="120" w:after="6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3 – Кратности связей классов-сущностей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  <w:tblCellMar>
          <w:top w:w="65" w:type="dxa"/>
          <w:bottom w:w="65" w:type="dxa"/>
          <w:left w:w="85" w:type="dxa"/>
          <w:right w:w="85" w:type="dxa"/>
        </w:tblCellMar>
      </w:tblPr>
      <w:tblGrid>
        <w:gridCol w:w="2608"/>
        <w:gridCol w:w="1361"/>
        <w:gridCol w:w="1701"/>
        <w:gridCol w:w="3685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361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Кратность</w:t>
            </w:r>
          </w:p>
        </w:tc>
        <w:tc>
          <w:tcPr>
            <w:tcW w:type="dxa" w:w="1701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Отношение</w:t>
            </w:r>
          </w:p>
        </w:tc>
        <w:tc>
          <w:tcPr>
            <w:tcW w:type="dxa" w:w="3685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Связанный класс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Конфигурация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— 0..*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Композиция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— 0..*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Композиция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Позиция BOM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Позиция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0..* — 0..1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Группа комплектующих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Позиция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0..* — 0..1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Комплектующая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Комплектующая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— 0..*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Предложение поставщика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Позиция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0..* — 0..1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Предложение поставщика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товара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— 0..*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Композиция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Ревизия карточки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— 0..*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Ревизия карточки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Ревизия карточки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— 0..*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Композиция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Попытка публикации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Ревизия карточки</w:t>
            </w:r>
          </w:p>
        </w:tc>
        <w:tc>
          <w:tcPr>
            <w:tcW w:type="dxa" w:w="136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0..* — 0..*</w:t>
            </w:r>
          </w:p>
        </w:tc>
        <w:tc>
          <w:tcPr>
            <w:tcW w:type="dxa" w:w="170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368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Изображение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Ревизия всегда ссылается ровно на одну версию BOM. Цена, масса, атрибуты и контрольные суммы изображений входят в снимок. При изменении исходных данных создаётся новая ревизия; уже отправленный payload и прежние попытки не перезаписываются. У композиционных объектов единственный владелец; удаление истории публикаций физическим каскадом не допускается.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4.</w:t>
      </w:r>
    </w:p>
    <w:p>
      <w:pPr>
        <w:keepNext/>
        <w:keepLines w:val="0"/>
        <w:pageBreakBefore w:val="0"/>
        <w:widowControl/>
        <w:spacing w:before="120" w:after="6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4 – Соответствие сообщениям модели анализа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  <w:tblCellMar>
          <w:top w:w="65" w:type="dxa"/>
          <w:bottom w:w="65" w:type="dxa"/>
          <w:left w:w="85" w:type="dxa"/>
          <w:right w:w="85" w:type="dxa"/>
        </w:tblCellMar>
      </w:tblPr>
      <w:tblGrid>
        <w:gridCol w:w="2891"/>
        <w:gridCol w:w="3288"/>
        <w:gridCol w:w="3175"/>
      </w:tblGrid>
      <w:tr>
        <w:trPr>
          <w:cantSplit/>
          <w:tblHeader/>
        </w:trPr>
        <w:tc>
          <w:tcPr>
            <w:tcW w:type="dxa" w:w="2891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Сценарий / сообщение</w:t>
            </w:r>
          </w:p>
        </w:tc>
        <w:tc>
          <w:tcPr>
            <w:tcW w:type="dxa" w:w="3288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Операция проектирования</w:t>
            </w:r>
          </w:p>
        </w:tc>
        <w:tc>
          <w:tcPr>
            <w:tcW w:type="dxa" w:w="3175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9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UC02: сохранить состав, получить предложения</w:t>
            </w:r>
          </w:p>
        </w:tc>
        <w:tc>
          <w:tcPr>
            <w:tcW w:type="dxa" w:w="328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BomControl:</w:t>
              <w:br/>
              <w:t>formVersion /</w:t>
              <w:br/>
              <w:t>resolveSlots</w:t>
            </w:r>
          </w:p>
        </w:tc>
        <w:tc>
          <w:tcPr>
            <w:tcW w:type="dxa" w:w="317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Черновик версии; конкретные модели и выбранные предложения</w:t>
            </w:r>
          </w:p>
        </w:tc>
      </w:tr>
      <w:tr>
        <w:trPr>
          <w:cantSplit/>
        </w:trPr>
        <w:tc>
          <w:tcPr>
            <w:tcW w:type="dxa" w:w="289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UC02: проверить совместимость</w:t>
            </w:r>
          </w:p>
        </w:tc>
        <w:tc>
          <w:tcPr>
            <w:tcW w:type="dxa" w:w="328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Compatibility:</w:t>
              <w:br/>
              <w:t>checkCompatibility</w:t>
            </w:r>
          </w:p>
        </w:tc>
        <w:tc>
          <w:tcPr>
            <w:tcW w:type="dxa" w:w="317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CheckResult; CHECKED только при отсутствии ошибок</w:t>
            </w:r>
          </w:p>
        </w:tc>
      </w:tr>
      <w:tr>
        <w:trPr>
          <w:cantSplit/>
        </w:trPr>
        <w:tc>
          <w:tcPr>
            <w:tcW w:type="dxa" w:w="289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UC05: получить снимок, проверить готовность</w:t>
            </w:r>
          </w:p>
        </w:tc>
        <w:tc>
          <w:tcPr>
            <w:tcW w:type="dxa" w:w="328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CardRevision: getSnapshot;</w:t>
              <w:br/>
              <w:t>Readiness: checkReadiness</w:t>
            </w:r>
          </w:p>
        </w:tc>
        <w:tc>
          <w:tcPr>
            <w:tcW w:type="dxa" w:w="317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Снимок и проверяемое решение о возможности отправки</w:t>
            </w:r>
          </w:p>
        </w:tc>
      </w:tr>
      <w:tr>
        <w:trPr>
          <w:cantSplit/>
        </w:trPr>
        <w:tc>
          <w:tcPr>
            <w:tcW w:type="dxa" w:w="289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UC05: создать запись отправки, передать снимок</w:t>
            </w:r>
          </w:p>
        </w:tc>
        <w:tc>
          <w:tcPr>
            <w:tcW w:type="dxa" w:w="328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PublicationControl:</w:t>
              <w:br/>
              <w:t>requestPublication;</w:t>
              <w:br/>
              <w:t>MarketplaceGateway:</w:t>
              <w:br/>
              <w:t>prepareRequest / send</w:t>
            </w:r>
          </w:p>
        </w:tc>
        <w:tc>
          <w:tcPr>
            <w:tcW w:type="dxa" w:w="317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Попытка до обмена; ACCEPTED либо ошибка, но не фиктивный успех</w:t>
            </w:r>
          </w:p>
        </w:tc>
      </w:tr>
      <w:tr>
        <w:trPr>
          <w:cantSplit/>
        </w:trPr>
        <w:tc>
          <w:tcPr>
            <w:tcW w:type="dxa" w:w="289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UC05: сохранить результат, обновить статус</w:t>
            </w:r>
          </w:p>
        </w:tc>
        <w:tc>
          <w:tcPr>
            <w:tcW w:type="dxa" w:w="328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PublicationAttempt:</w:t>
              <w:br/>
              <w:t>recordResult;</w:t>
              <w:br/>
              <w:t>PublicationControl:</w:t>
              <w:br/>
              <w:t>checkOutcome</w:t>
            </w:r>
          </w:p>
        </w:tc>
        <w:tc>
          <w:tcPr>
            <w:tcW w:type="dxa" w:w="317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Окончательный итог либо дальнейшая сверка UNKNOWN</w:t>
            </w:r>
          </w:p>
        </w:tc>
      </w:tr>
    </w:tbl>
    <w:p>
      <w:pPr>
        <w:pStyle w:val="1"/>
        <w:keepNext/>
        <w:keepLines/>
        <w:pageBreakBefore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4 Диаграмма деятельности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5 показана модель «Деятельность: подготовка и проверка состава».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5835456"/>
            <wp:docPr id="298370856" name="Picture 2983708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4_05_Деятельность_BO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35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5 – Деятельность: подготовка и проверка состава</w:t>
      </w:r>
    </w:p>
    <w:p>
      <w:pPr>
        <w:keepNext/>
        <w:keepLines w:val="0"/>
        <w:pageBreakBefore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6 показана модель «Деятельность: подготовка содержания и передача на публикацию».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5856048"/>
            <wp:docPr id="298370857" name="Picture 2983708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ПР4_06_Деятельность_Карточка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5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6 – Деятельность: подготовка содержания и передача на публикацию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Две первые ветви независимы: технический специалист задаёт требования к позициям, а система обновляет каталог предложений для выбранных поставщиков. Ветвь загрузки не получает объект BOM из параллельной ветви. После AND-синхронизации выбираются конкретные модели и предложения, проверяется совместимость и готовится содержание. Ошибки загрузки сохраняются как результат ветви и блокируют выбор непроверенных предложений; токен завершения ветви не теряется.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5.</w:t>
      </w:r>
    </w:p>
    <w:p>
      <w:pPr>
        <w:keepNext/>
        <w:keepLines w:val="0"/>
        <w:pageBreakBefore w:val="0"/>
        <w:widowControl/>
        <w:spacing w:before="120" w:after="6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5 – Действия подготовки ревизии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  <w:tblCellMar>
          <w:top w:w="65" w:type="dxa"/>
          <w:bottom w:w="65" w:type="dxa"/>
          <w:left w:w="85" w:type="dxa"/>
          <w:right w:w="85" w:type="dxa"/>
        </w:tblCellMar>
      </w:tblPr>
      <w:tblGrid>
        <w:gridCol w:w="2948"/>
        <w:gridCol w:w="2551"/>
        <w:gridCol w:w="3855"/>
      </w:tblGrid>
      <w:tr>
        <w:trPr>
          <w:cantSplit/>
          <w:tblHeader/>
        </w:trPr>
        <w:tc>
          <w:tcPr>
            <w:tcW w:type="dxa" w:w="2948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Действие</w:t>
            </w:r>
          </w:p>
        </w:tc>
        <w:tc>
          <w:tcPr>
            <w:tcW w:type="dxa" w:w="2551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Исполнитель</w:t>
            </w:r>
          </w:p>
        </w:tc>
        <w:tc>
          <w:tcPr>
            <w:tcW w:type="dxa" w:w="3855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Задать позиции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Роли, количество, группы либо точные модели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Обновить предложения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Система / администратор интеграций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 с ценой, наличием, временем и диагностикой загрузки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Разрешить слоты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Управление BOM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Конкретные модели и предложения; сохранён черновик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Проверить совместимость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совместимости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Проверенная BOM либо адресные конфликты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Рассчитать показатели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 показателей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Себестоимость, цена, масса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Подготовить содержание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 / менеджер / система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Изображения, название и обязательные атрибуты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Проверить ревизию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готовности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Полный снимок либо замечания к черновику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Передать на публикацию</w:t>
            </w:r>
          </w:p>
        </w:tc>
        <w:tc>
          <w:tcPr>
            <w:tcW w:type="dxa" w:w="2551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/ управление публикацией</w:t>
            </w:r>
          </w:p>
        </w:tc>
        <w:tc>
          <w:tcPr>
            <w:tcW w:type="dxa" w:w="385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Записана попытка, отправлен снимок; публикация ещё не подтверждена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Положительное завершение деятельности означает передачу готовой ревизии модулю публикации, а не появление карточки на маркетплейсе. Продолжение внешнего обмена описано автоматом состояний. Отрицательная ветвь завершает текущий запуск и сохраняет черновик; исправление и повторная проверка — новый запуск.</w:t>
      </w:r>
    </w:p>
    <w:p>
      <w:pPr>
        <w:keepNext w:val="0"/>
        <w:spacing w:before="0" w:after="0" w:line="20" w:lineRule="exact"/>
        <w:sectPr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</w:rPr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 Диаграммы состояний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7 показана модель «Состояния карточки с составным состоянием внешнего обмена».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7370078" cy="4680000"/>
            <wp:docPr id="298370858" name="Picture 2983708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4_07_Состояния_Карточка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370078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7 – Состояния карточки с составным состоянием внешнего обмена</w:t>
      </w:r>
    </w:p>
    <w:p>
      <w:pPr>
        <w:keepNext/>
        <w:keepLines w:val="0"/>
        <w:pageBreakBefore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8 показана модель «Состояния попытки внешнего обмена».</w:t>
      </w:r>
    </w:p>
    <w:p>
      <w:pPr>
        <w:keepNext/>
        <w:keepLines w:val="0"/>
        <w:pageBreakBefore w:val="0"/>
        <w:widowControl/>
        <w:spacing w:before="0" w:after="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7563636" cy="4680000"/>
            <wp:docPr id="298370859" name="Picture 2983708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4_08_Состояния_Обмен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563636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widowControl/>
        <w:spacing w:before="60" w:after="120" w:line="24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8 – Состояния попытки внешнего обмена</w:t>
      </w:r>
    </w:p>
    <w:p>
      <w:pPr>
        <w:keepNext w:val="0"/>
        <w:spacing w:before="0" w:after="0" w:line="20" w:lineRule="exact"/>
        <w:sectPr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</w:rPr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Объект жизненного цикла — карточка с выбранной текущей ревизией. История прежних ревизий остаётся неизменной; состояние обмена уточняется в попытках. «Обмен с Ozon» — составное состояние, раскрытое отдельно. После приёма задачи карточка ожидает окончательного результата. Только подтверждённое создание или обновление даёт состояние «Опубликована».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6.</w:t>
      </w:r>
    </w:p>
    <w:p>
      <w:pPr>
        <w:keepNext/>
        <w:keepLines w:val="0"/>
        <w:pageBreakBefore w:val="0"/>
        <w:widowControl/>
        <w:spacing w:before="120" w:after="6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6 – Переходы жизненного цикла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  <w:tblCellMar>
          <w:top w:w="65" w:type="dxa"/>
          <w:bottom w:w="65" w:type="dxa"/>
          <w:left w:w="85" w:type="dxa"/>
          <w:right w:w="85" w:type="dxa"/>
        </w:tblCellMar>
      </w:tblPr>
      <w:tblGrid>
        <w:gridCol w:w="680"/>
        <w:gridCol w:w="2098"/>
        <w:gridCol w:w="4479"/>
        <w:gridCol w:w="2098"/>
      </w:tblGrid>
      <w:tr>
        <w:trPr>
          <w:cantSplit/>
          <w:tblHeader/>
        </w:trPr>
        <w:tc>
          <w:tcPr>
            <w:tcW w:type="dxa" w:w="680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098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Исходное состояние</w:t>
            </w:r>
          </w:p>
        </w:tc>
        <w:tc>
          <w:tcPr>
            <w:tcW w:type="dxa" w:w="4479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Событие и условие</w:t>
            </w:r>
          </w:p>
        </w:tc>
        <w:tc>
          <w:tcPr>
            <w:tcW w:type="dxa" w:w="2098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Новое состояние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Черновик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Запрошена проверка конкретного состава и содержания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проверке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проверке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Нет конфликтов, все обязательные данные готовы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Готова к публикации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T03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проверке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Есть ошибки совместимости или неполные данные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Ошибка проверки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Ошибка проверки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Исправлены данные; создан новый черновик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Черновик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T05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Готова к публикации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подтвердил отправку актуальной ревизии; попытка записана до обмена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Отправляется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T06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Отправляется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Внешняя система приняла задачу, но окончательный результат ещё не получен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Ожидает результата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T07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Отправляется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 потерян или исход отправки неизвестен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неизвестен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T08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Отправляется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Подтверждён временный отказ без принятия операции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Временная ошибка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T09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Отправляется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 окончательный отказ: данные или права требуют исправления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Отказ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Ожидает результата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Подтверждено создание или обновление карточки, а не только приём задачи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Опубликована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T11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Ожидает результата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 окончательный отрицательный результат обработки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Отказ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T12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Ожидает результата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Истёк срок сверки; окончательный исход не установлен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неизвестен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T13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неизвестен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Сверка подтвердила успешное создание или обновление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Опубликована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T14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неизвестен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Сверка нашла принятую задачу, обработка продолжается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Ожидает результата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T15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 неизвестен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Надёжно установлено, что предыдущая операция не была принята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Временная ошибка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T16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Временная ошибка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Ревизия актуальна; наступил срок повтора; лимит попыток не исчерпан; записана новая попытка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Отправляется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T17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Отказ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Исправлены данные или права; для изменённого содержания создана новая ревизия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Черновик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T18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Опубликована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Изменились BOM, предложения или содержание, влияющие на карточку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Требует актуализации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Требует актуализации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Создана новая ревизия; история прежней публикации сохранена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Черновик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T20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Готова к публикации</w:t>
            </w:r>
          </w:p>
        </w:tc>
        <w:tc>
          <w:tcPr>
            <w:tcW w:type="dxa" w:w="4479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Исходные данные изменились до отправки; готовность отменена</w:t>
            </w:r>
          </w:p>
        </w:tc>
        <w:tc>
          <w:tcPr>
            <w:tcW w:type="dxa" w:w="2098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Черновик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UNKNOWN запрещена слепая повторная отправка: сначала выполняется сверка по известному внешнему идентификатору или идентификатору товара. Если исход надёжно установить нельзя, попытка остаётся на ручном разборе. Автоматически повторяются только подтверждённые временные отказы без принятия операции, с увеличением задержки и ограничением количества. Валидационные ошибки и отказы в доступе требуют исправления, а не бесконечной очереди.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Идемпотентность не предполагается свойством любого внешнего метода. Внутренний идентификатор попытки предотвращает дублирование заданий в своей очереди, но сам по себе не гарантирует отсутствие дубля у внешней системы. После изменения содержания либо правил готовность проверяется заново. Если лимит повторов исчерпан, операция остаётся в журнале для ответственного.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6 Согласованность проектной модели</w:t>
      </w:r>
    </w:p>
    <w:p>
      <w:pPr>
        <w:keepNext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приведены в таблице 7.</w:t>
      </w:r>
    </w:p>
    <w:p>
      <w:pPr>
        <w:keepNext/>
        <w:keepLines w:val="0"/>
        <w:pageBreakBefore w:val="0"/>
        <w:widowControl/>
        <w:spacing w:before="120" w:after="60" w:line="24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7 – Связь с функциями IDEF0 и требованиями</w:t>
      </w:r>
    </w:p>
    <w:tbl>
      <w:tblPr>
        <w:tblStyle w:val="a3"/>
        <w:tblW w:type="auto" w:w="0"/>
        <w:tblLayout w:type="fixed"/>
        <w:tblLook w:firstColumn="1" w:firstRow="1" w:lastColumn="0" w:lastRow="0" w:noHBand="0" w:noVBand="1" w:val="04A0"/>
        <w:tblCellMar>
          <w:top w:w="65" w:type="dxa"/>
          <w:bottom w:w="65" w:type="dxa"/>
          <w:left w:w="85" w:type="dxa"/>
          <w:right w:w="85" w:type="dxa"/>
        </w:tblCellMar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Функция / требование</w:t>
            </w:r>
          </w:p>
        </w:tc>
        <w:tc>
          <w:tcPr>
            <w:tcW w:type="dxa" w:w="6520"/>
          </w:tcPr>
          <w:p>
            <w:pPr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Классы и правило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A1 — инициировать карточку</w:t>
            </w:r>
          </w:p>
        </w:tc>
        <w:tc>
          <w:tcPr>
            <w:tcW w:type="dxa" w:w="652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Формы создают запрос и черновик; границы приёма запроса из практики 2 сохранены.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 — сформировать BOM</w:t>
            </w:r>
          </w:p>
        </w:tc>
        <w:tc>
          <w:tcPr>
            <w:tcW w:type="dxa" w:w="652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Управление BOM, конфигурация, версия, позиции, группы, комплектующие и предложения.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A3 — проверить совместимость</w:t>
            </w:r>
          </w:p>
        </w:tc>
        <w:tc>
          <w:tcPr>
            <w:tcW w:type="dxa" w:w="652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совместимости; конфликты блокируют CHECKED и отправку.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A4 — рассчитать и подготовить контент</w:t>
            </w:r>
          </w:p>
        </w:tc>
        <w:tc>
          <w:tcPr>
            <w:tcW w:type="dxa" w:w="652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Расчёт показателей, ревизия и изображения; содержание подготовлено до готовности.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A5 — проверить и опубликовать</w:t>
            </w:r>
          </w:p>
        </w:tc>
        <w:tc>
          <w:tcPr>
            <w:tcW w:type="dxa" w:w="652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готовности, управление публикацией, шлюз и попытки.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FR-19 / ФТ-04 — неуспешный обмен</w:t>
            </w:r>
          </w:p>
        </w:tc>
        <w:tc>
          <w:tcPr>
            <w:tcW w:type="dxa" w:w="652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TRANSIENT, REJECTED и UNKNOWN разделены; повтор допускается только после проверки условий.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ФТ-02 — массовая замена</w:t>
            </w:r>
          </w:p>
        </w:tc>
        <w:tc>
          <w:tcPr>
            <w:tcW w:type="dxa" w:w="6520"/>
          </w:tcPr>
          <w:p>
            <w:pPr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replacePreview показывает затронутые конфигурации; подтверждение создаёт новые версии, старые снимки сохраняются.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модели анализа UC05 внешний обмен представлен обобщённой операцией. Проектная модель раскрывает эту операцию на отправку и уточнение результата, сохраняя инициатора, снимок, регистрацию попытки и ответственность адаптера. Синхронный ответ конкретного запроса не означает синхронное завершение всей внешней обработки. Детальные адреса и поля API в данной работе не специфицируются.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 Вывод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Разработана модель проектирования из 18 классов с типизированными атрибутами и операциями, ключами, кратностями и инвариантами группового либо точного выбора. Диаграмма деятельности различает независимые ветви, зависимые проверки, расчёты, подготовку содержания и передачу готовой ревизии.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Автомат карточки и попытки обмена разделяет подтверждённую публикацию, ожидание, окончательный отказ, временную ошибку и неизвестный исход. Ревизии и попытки сохраняют историю; внешние повторы ограничены и не подменяют исправление данных. Проектные решения прослеживаются к требованиям, IDEF0 и сценариям предыдущих практик.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Проектирование предметно-ориентированных информационных систем. Практическая работа № 4. Методические материалы.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Албахтин И.В. ППОИС. Отчёт по практической работе № 1. Москва, 2026.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Албахтин И.В. ППОИС. Отчёт по практической работе № 2. Москва, 2026.</w:t>
      </w:r>
    </w:p>
    <w:p>
      <w:pPr>
        <w:keepNext w:val="0"/>
        <w:keepLines w:val="0"/>
        <w:pageBreakBefore w:val="0"/>
        <w:widowControl/>
        <w:spacing w:before="0" w:after="0" w:line="360" w:lineRule="auto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Албахтин И.В. ППОИС. Отчёт по практической работе № 3. Москва, 2026.</w:t>
      </w:r>
    </w:p>
    <w:sectPr w:rsidR="004651E5" w:rsidRPr="002A2FAC" w:rsidSect="002A2FAC"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 w:before="0"/>
      <w:ind w:left="737"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 w:val="0"/>
      <w:widowControl/>
      <w:spacing w:after="120" w:line="360" w:lineRule="auto" w:before="240"/>
      <w:ind w:left="0" w:right="0" w:firstLine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">
    <w:name w:val="Title"/>
    <w:pPr>
      <w:jc w:val="center"/>
    </w:pPr>
    <w:rPr>
      <w:rFonts w:ascii="Times New Roman" w:hAnsi="Times New Roman"/>
      <w:b/>
      <w:color w:val="000000"/>
      <w:sz w:val="32"/>
    </w:rPr>
  </w:style>
  <w:style w:type="paragraph" w:customStyle="1" w:styleId="ReportBody">
    <w:name w:val="ReportBody"/>
    <w:pPr>
      <w:keepNext w:val="0"/>
      <w:keepLines w:val="0"/>
      <w:pageBreakBefore w:val="0"/>
      <w:widowControl/>
      <w:spacing w:before="0" w:after="0" w:line="360" w:lineRule="auto"/>
      <w:ind w:left="0" w:right="0" w:firstLine="709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ReportTable">
    <w:name w:val="ReportTable"/>
    <w:pPr>
      <w:keepNext w:val="0"/>
      <w:keepLines w:val="0"/>
      <w:pageBreakBefore w:val="0"/>
      <w:widowControl/>
      <w:spacing w:before="0" w:after="0" w:line="240" w:lineRule="auto"/>
      <w:ind w:left="0" w:right="0" w:firstLine="0"/>
      <w:jc w:val="left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ReportTableCaption">
    <w:name w:val="ReportTableCaption"/>
    <w:pPr>
      <w:keepNext/>
      <w:keepLines w:val="0"/>
      <w:pageBreakBefore w:val="0"/>
      <w:widowControl/>
      <w:spacing w:before="120" w:after="60" w:line="240" w:lineRule="auto"/>
      <w:ind w:left="0" w:right="0" w:firstLine="0"/>
      <w:jc w:val="left"/>
    </w:pPr>
    <w:rPr>
      <w:rFonts w:ascii="Times New Roman" w:hAnsi="Times New Roman"/>
      <w:b w:val="0"/>
      <w:i/>
      <w:color w:val="000000"/>
      <w:sz w:val="24"/>
    </w:rPr>
  </w:style>
  <w:style w:type="paragraph" w:customStyle="1" w:styleId="ReportFigure">
    <w:name w:val="ReportFigure"/>
    <w:pPr>
      <w:keepNext w:val="0"/>
      <w:keepLines/>
      <w:pageBreakBefore w:val="0"/>
      <w:widowControl/>
      <w:spacing w:before="60" w:after="120" w:line="240" w:lineRule="auto"/>
      <w:ind w:left="0" w:right="0" w:firstLine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pageBreakBefore w:val="0"/>
      <w:widowControl/>
      <w:spacing w:before="240" w:after="120" w:line="360" w:lineRule="auto"/>
      <w:ind w:left="0" w:right="0" w:firstLine="0"/>
      <w:jc w:val="left"/>
    </w:pPr>
    <w:rPr>
      <w:rFonts w:ascii="Times New Roman" w:hAnsi="Times New Roman" w:eastAsia="Times New Roman"/>
      <w:b/>
      <w:i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33" Type="http://schemas.openxmlformats.org/officeDocument/2006/relationships/header" Target="header1.xml"/><Relationship Id="rId34" Type="http://schemas.openxmlformats.org/officeDocument/2006/relationships/footer" Target="footer1.xml"/><Relationship Id="rId35" Type="http://schemas.openxmlformats.org/officeDocument/2006/relationships/footer" Target="footer2.xml"/><Relationship Id="rId36" Type="http://schemas.openxmlformats.org/officeDocument/2006/relationships/header" Target="header2.xml"/><Relationship Id="rId37" Type="http://schemas.openxmlformats.org/officeDocument/2006/relationships/footer" Target="footer3.xml"/><Relationship Id="rId38" Type="http://schemas.openxmlformats.org/officeDocument/2006/relationships/footer" Target="footer4.xml"/><Relationship Id="rId39" Type="http://schemas.openxmlformats.org/officeDocument/2006/relationships/header" Target="header3.xml"/><Relationship Id="rId40" Type="http://schemas.openxmlformats.org/officeDocument/2006/relationships/footer" Target="footer5.xml"/><Relationship Id="rId41" Type="http://schemas.openxmlformats.org/officeDocument/2006/relationships/footer" Target="footer6.xml"/><Relationship Id="rId42" Type="http://schemas.openxmlformats.org/officeDocument/2006/relationships/header" Target="header4.xml"/><Relationship Id="rId43" Type="http://schemas.openxmlformats.org/officeDocument/2006/relationships/footer" Target="footer7.xml"/><Relationship Id="rId44" Type="http://schemas.openxmlformats.org/officeDocument/2006/relationships/footer" Target="footer8.xml"/><Relationship Id="rId45" Type="http://schemas.openxmlformats.org/officeDocument/2006/relationships/header" Target="header5.xml"/><Relationship Id="rId46" Type="http://schemas.openxmlformats.org/officeDocument/2006/relationships/footer" Target="footer9.xml"/><Relationship Id="rId47" Type="http://schemas.openxmlformats.org/officeDocument/2006/relationships/footer" Target="footer10.xml"/><Relationship Id="rId48" Type="http://schemas.openxmlformats.org/officeDocument/2006/relationships/header" Target="header6.xml"/><Relationship Id="rId49" Type="http://schemas.openxmlformats.org/officeDocument/2006/relationships/footer" Target="footer11.xml"/><Relationship Id="rId50" Type="http://schemas.openxmlformats.org/officeDocument/2006/relationships/footer" Target="footer12.xml"/><Relationship Id="rId51" Type="http://schemas.openxmlformats.org/officeDocument/2006/relationships/header" Target="header7.xml"/><Relationship Id="rId52" Type="http://schemas.openxmlformats.org/officeDocument/2006/relationships/footer" Target="footer13.xml"/><Relationship Id="rId53" Type="http://schemas.openxmlformats.org/officeDocument/2006/relationships/footer" Target="footer14.xml"/><Relationship Id="rId54" Type="http://schemas.openxmlformats.org/officeDocument/2006/relationships/header" Target="header8.xml"/><Relationship Id="rId55" Type="http://schemas.openxmlformats.org/officeDocument/2006/relationships/footer" Target="footer15.xml"/><Relationship Id="rId56" Type="http://schemas.openxmlformats.org/officeDocument/2006/relationships/footer" Target="footer16.xml"/><Relationship Id="rId74" Type="http://schemas.openxmlformats.org/officeDocument/2006/relationships/image" Target="media/image44.png"/><Relationship Id="rId75" Type="http://schemas.openxmlformats.org/officeDocument/2006/relationships/image" Target="media/image45.png"/><Relationship Id="rId76" Type="http://schemas.openxmlformats.org/officeDocument/2006/relationships/image" Target="media/image46.png"/><Relationship Id="rId77" Type="http://schemas.openxmlformats.org/officeDocument/2006/relationships/image" Target="media/image47.png"/><Relationship Id="rId78" Type="http://schemas.openxmlformats.org/officeDocument/2006/relationships/image" Target="media/image48.png"/><Relationship Id="rId79" Type="http://schemas.openxmlformats.org/officeDocument/2006/relationships/image" Target="media/image49.png"/><Relationship Id="rId80" Type="http://schemas.openxmlformats.org/officeDocument/2006/relationships/image" Target="media/image50.png"/><Relationship Id="rId8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3 Модель анализа ООО Юкомс</dc:title>
  <dc:subject/>
  <dc:creator>Албахтин И.В.</dc:creator>
  <cp:keywords/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