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Droid Sans Fallback" w:hAnsi="Times New Roman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Droid Sans Fallback" w:hAnsi="Times New Roman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ОТЧЕТ ПО ПРАКТИЧЕСКОЙ РАБОТЕ № 3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дисциплине «Информационный менеджмент»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Droid Sans Fallback" w:hAnsi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>Пяткин В.В.</w:t>
            </w:r>
            <w:r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  <w:t xml:space="preserve"/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Droid Sans Fallback" w:hAnsi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Droid Sans Fallback" w:hAnsi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Droid Sans Fallback" w:hAnsi="Times New Roman"/>
          <w:iCs/>
          <w:sz w:val="24"/>
          <w:szCs w:val="28"/>
          <w:lang w:eastAsia="zh-CN" w:bidi="hi-IN"/>
          <w14:ligatures w14:val="none"/>
        </w:rPr>
      </w:pPr>
      <w:r w:rsidRPr="00867FE9">
        <w:rPr>
          <w:rFonts w:ascii="Times New Roman" w:eastAsia="Droid Sans Fallback" w:hAnsi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/>
      </w:pPr>
      <w:r>
        <w:t>Практическая работа 3</w:t>
        <w:br/>
        <w:t>План автоматизации и структура работ</w:t>
      </w:r>
    </w:p>
    <w:p>
      <w:pPr>
        <w:pStyle w:val="Heading2"/>
      </w:pPr>
      <w:r>
        <w:t>1 Цель и индивидуальное задание</w:t>
      </w:r>
    </w:p>
    <w:p>
      <w:pPr>
        <w:pStyle w:val="Основнойтекстотчёта"/>
      </w:pPr>
      <w:r>
        <w:t>Цель работы — разработать план автоматизации процесса формирования и актуализации карточек компьютерных систем ООО «Юкомс»: описать проблемную ситуацию, определить цель, задачи и ограничения проекта, построить иерархическую структуру работ и назначить исполнителей [1].</w:t>
      </w:r>
    </w:p>
    <w:p>
      <w:pPr>
        <w:pStyle w:val="Основнойтекстотчёта"/>
      </w:pPr>
      <w:r>
        <w:t>Индивидуальное задание выполняется на основе первой практики и реестра потоков F01–F14 из практики 2. План охватывает подготовку, проверку и публикацию карточек, а также контроль изменений и результатов обработки.</w:t>
      </w:r>
    </w:p>
    <w:p>
      <w:pPr>
        <w:pStyle w:val="Heading2"/>
      </w:pPr>
      <w:r>
        <w:t>2 Этапы выполнения работы</w:t>
      </w:r>
    </w:p>
    <w:p>
      <w:pPr>
        <w:pStyle w:val="Основнойтекстотчёта"/>
      </w:pPr>
      <w:r>
        <w:t>Выделены проблемы обработки информации и их причины; установлено влияние проблем на деятельность; сформулированы цель и критерии её достижения; определены ограничения; выполнена декомпозиция проекта до управляемых пакетов работ с результатами, сроками и ответственными.</w:t>
      </w:r>
    </w:p>
    <w:p>
      <w:pPr>
        <w:pStyle w:val="Heading2"/>
      </w:pPr>
      <w:r>
        <w:t>3 Проблемная ситуация</w:t>
      </w:r>
    </w:p>
    <w:p>
      <w:pPr>
        <w:pStyle w:val="Основнойтекстотчёта"/>
      </w:pPr>
      <w:r>
        <w:t>Менеджер получает сведения о составе компьютера, цене, наличии и изображениях из разных источников. После замены компонента он должен найти зависимые карточки и повторить сверку. Отсутствие общей версии данных приводит к тому, что корректный по отдельности документ может не соответствовать другим документам той же карточки [2, 3].</w:t>
      </w:r>
    </w:p>
    <w:p>
      <w:pPr>
        <w:pStyle w:val="Основнойтекстотчёта"/>
      </w:pPr>
      <w:r>
        <w:t>Следствием становятся повторные операции, задержка вывода предложения и риск продажи конфигурации с неверными характеристиками. Экономическое влияние проявляется в дополнительных трудозатратах и возможных потерях продаж; фактические денежные потери требуют отдельного измерения.</w:t>
      </w:r>
    </w:p>
    <w:p>
      <w:pPr>
        <w:spacing w:before="0" w:after="0" w:line="240" w:lineRule="auto"/>
        <w:sectPr>
          <w:footerReference w:type="default" r:id="rId28"/>
          <w:footerReference w:type="first" r:id="rId29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</w:p>
    <w:p>
      <w:pPr>
        <w:pStyle w:val="1"/>
      </w:pPr>
      <w:r>
        <w:t>4 Проблемы и причины</w:t>
      </w:r>
    </w:p>
    <w:p>
      <w:pPr>
        <w:pStyle w:val="Основнойтекстотчёта"/>
      </w:pPr>
      <w:r>
        <w:t>Проблемы P-01–P-06 сохранены из первой практики и связаны с потоками второй практики. Таблица 1 показывает причинно-следственную связь, используемую для определения содержания проекта.</w:t>
      </w:r>
    </w:p>
    <w:p>
      <w:pPr>
        <w:pStyle w:val="Подписьтаблицы"/>
      </w:pPr>
      <w:r>
        <w:t>Таблица 1 – Проблемы обработки информации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814"/>
        <w:gridCol w:w="2891"/>
        <w:gridCol w:w="4365"/>
        <w:gridCol w:w="4365"/>
      </w:tblGrid>
      <w:tr>
        <w:trPr>
          <w:cantSplit/>
          <w:tblHeader/>
        </w:trPr>
        <w:tc>
          <w:tcPr>
            <w:tcW w:type="dxa" w:w="85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Потоки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Проблема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Причина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Последствие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P-01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F02, F04–F06, F10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Повторный ввод и сверка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Раздельные таблицы, файлы и кабинет продавца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Рост времени подготовки, расхождение данных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P-02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F04, F07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Ручная проверка совместимости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Правила не представлены в едином справочнике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Публикация технически некорректной конфигурации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P-03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F03, F04, F09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Несогласованная замена компонента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Нет полного списка зависимых модельных рядов и карточек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Часть карточек или изображений остаётся устаревшей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P-04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F02, F05, F06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Неактуальная цена или наличие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Источники сверяются в разное время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Неверная цена и предложение недоступного товара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P-05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F10, F11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Позднее выявление неполноты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Проверка обязательных полей перед отправкой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Отказ в обработке и возврат на доработку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P-06</w:t>
            </w:r>
          </w:p>
        </w:tc>
        <w:tc>
          <w:tcPr>
            <w:tcW w:type="dxa" w:w="181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F11–F14</w:t>
            </w:r>
          </w:p>
        </w:tc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Нет сквозной истории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Сведения о действиях и сбоях разрозненны</w:t>
            </w:r>
          </w:p>
        </w:tc>
        <w:tc>
          <w:tcPr>
            <w:tcW w:type="dxa" w:w="436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Длительный поиск причин и повторные ошибки</w:t>
            </w:r>
          </w:p>
        </w:tc>
      </w:tr>
    </w:tbl>
    <w:p>
      <w:pPr>
        <w:pStyle w:val="Основнойтекстотчёта"/>
      </w:pPr>
      <w:r>
        <w:t>Наибольший приоритет имеют P-02 и P-04: они влияют на корректность продаваемой конфигурации и цены. P-01, P-03, P-05 и P-06 повышают трудоёмкость, затрудняют массовые изменения и усиливают последствия ошибок.</w:t>
      </w:r>
    </w:p>
    <w:p>
      <w:pPr>
        <w:spacing w:before="0" w:after="0" w:line="240" w:lineRule="auto"/>
        <w:sectPr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5 Цель, задачи и критерии результата</w:t>
      </w:r>
    </w:p>
    <w:p>
      <w:pPr>
        <w:pStyle w:val="Основнойтекстотчёта"/>
      </w:pPr>
      <w:r>
        <w:t>Цель проекта — за 12 недель подготовить и внедрить пилот ИС, которая объединяет данные компонент–модельный ряд–карточка, проверяет конфигурации и обязательные поля, рассчитывает параметры и сохраняет результаты публикаций. Пилот охватывает 100 операций подготовки или обновления карточек в течение 10 рабочих дней; набор операций резервируется заранее.</w:t>
      </w:r>
    </w:p>
    <w:p>
      <w:pPr>
        <w:pStyle w:val="Основнойтекстотчёта"/>
      </w:pPr>
      <w:r>
        <w:t>Задачи проекта: формализовать справочники и версии; настроить загрузку цен и остатков; реализовать проверку совместимости и расчёт; связать изображения с модельный ряд; организовать публикацию и повторную обработку; ввести историю действий, отчёты, обучение и контрольные испытания.</w:t>
      </w:r>
    </w:p>
    <w:p>
      <w:pPr>
        <w:pStyle w:val="Основнойтекстотчёта"/>
      </w:pPr>
      <w:r>
        <w:t>В таблице 2 указаны проектные целевые значения. Расчётная база времени 60 минут на операцию служит сценарием сравнения и проверяется при обследовании; она не является результатом наблюдения за ООО «Юкомс».</w:t>
      </w:r>
    </w:p>
    <w:p>
      <w:pPr>
        <w:pStyle w:val="Подписьтаблицы"/>
      </w:pPr>
      <w:r>
        <w:t>Таблица 2 – Измеримые критерии пилота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268"/>
        <w:gridCol w:w="4195"/>
      </w:tblGrid>
      <w:tr>
        <w:trPr>
          <w:cantSplit/>
          <w:tblHeader/>
        </w:trPr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Цель</w:t>
            </w:r>
          </w:p>
        </w:tc>
        <w:tc>
          <w:tcPr>
            <w:tcW w:type="dxa" w:w="419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Способ проверки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Активное время подготовки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более 30 мин в среднем</w:t>
            </w:r>
          </w:p>
        </w:tc>
        <w:tc>
          <w:tcPr>
            <w:tcW w:type="dxa" w:w="419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Хронометраж 100 операций одинакового состава до и после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Успех первой публикации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менее 95%</w:t>
            </w:r>
          </w:p>
        </w:tc>
        <w:tc>
          <w:tcPr>
            <w:tcW w:type="dxa" w:w="419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Успешные первые отправки / все первые отправки с итоговым статусом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Совместимость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 пропущенных критических нарушений</w:t>
            </w:r>
          </w:p>
        </w:tc>
        <w:tc>
          <w:tcPr>
            <w:tcW w:type="dxa" w:w="419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Контрольный набор корректных и заведомо ошибочных модельный ряд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Актуальность источников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 менее 98% отправок</w:t>
            </w:r>
          </w:p>
        </w:tc>
        <w:tc>
          <w:tcPr>
            <w:tcW w:type="dxa" w:w="419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Проверка возраста снимка цен и остатков: не старше 24 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Прослеживаемость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100% отправок</w:t>
            </w:r>
          </w:p>
        </w:tc>
        <w:tc>
          <w:tcPr>
            <w:tcW w:type="dxa" w:w="419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Каждая отправка связана с карточкой, версией модельный ряд и ответом</w:t>
            </w:r>
          </w:p>
        </w:tc>
      </w:tr>
    </w:tbl>
    <w:p>
      <w:pPr>
        <w:pStyle w:val="1"/>
        <w:pageBreakBefore/>
      </w:pPr>
      <w:r>
        <w:t>6 Ограничения и границы проекта</w:t>
      </w:r>
    </w:p>
    <w:p>
      <w:pPr>
        <w:pStyle w:val="Основнойтекстотчёта"/>
      </w:pPr>
      <w:r>
        <w:t>Конкретные ограничения и действия при их нарушении приведены в таблице 3. Сроки, загрузка и бюджет — параметры учебного плана, подлежащие согласованию перед запуском проекта.</w:t>
      </w:r>
    </w:p>
    <w:p>
      <w:pPr>
        <w:pStyle w:val="Подписьтаблицы"/>
      </w:pPr>
      <w:r>
        <w:t>Таблица 3 – Ограничения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3572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Вид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Ограничение</w:t>
            </w:r>
          </w:p>
        </w:tc>
        <w:tc>
          <w:tcPr>
            <w:tcW w:type="dxa" w:w="357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Как учитывается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Временное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 недель от запуска проекта</w:t>
            </w:r>
          </w:p>
        </w:tc>
        <w:tc>
          <w:tcPr>
            <w:tcW w:type="dxa" w:w="357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Разработка по пакетам, недельный контроль, пилот Н10–Н11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Финансовое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Плановый предел 600 тыс. руб.</w:t>
            </w:r>
          </w:p>
        </w:tc>
        <w:tc>
          <w:tcPr>
            <w:tcW w:type="dxa" w:w="357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512 тыс. руб. труда, 20 тыс. руб. среды, 60 тыс. руб. резерва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Трудовое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432 чел.-ч; разработчик до 32 ч/нед.</w:t>
            </w:r>
          </w:p>
        </w:tc>
        <w:tc>
          <w:tcPr>
            <w:tcW w:type="dxa" w:w="357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Проверка загрузки по неделям; ресурсы сведены в таблицу 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Организационное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Один канал Ozon; ограниченная группа пилота</w:t>
            </w:r>
          </w:p>
        </w:tc>
        <w:tc>
          <w:tcPr>
            <w:tcW w:type="dxa" w:w="357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 согласует карточку, производство — состав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Информационное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Нет подтверждённых форматов и базовых метрик</w:t>
            </w:r>
          </w:p>
        </w:tc>
        <w:tc>
          <w:tcPr>
            <w:tcW w:type="dxa" w:w="357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Сверка справочников и сбор исходных значений на этапе 1.1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Техническое</w:t>
            </w:r>
          </w:p>
        </w:tc>
        <w:tc>
          <w:tcPr>
            <w:tcW w:type="dxa" w:w="340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Обмен зависит от доступов и внешней обработки</w:t>
            </w:r>
          </w:p>
        </w:tc>
        <w:tc>
          <w:tcPr>
            <w:tcW w:type="dxa" w:w="3572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Тестовая среда, журнал попыток, повтор с контролем результата</w:t>
            </w:r>
          </w:p>
        </w:tc>
      </w:tr>
    </w:tbl>
    <w:p>
      <w:pPr>
        <w:pStyle w:val="Основнойтекстотчёта"/>
      </w:pPr>
      <w:r>
        <w:t>В проект входят карточки, модельный ряд, расчёты, изображения, публикации и отчётность. Вне проекта — замена складской системы, бухгалтерия, доставка, реклама и управление заказами. Новые требования принимаются только после оценки изменения трудоёмкости, срока и критериев приёмки.</w:t>
      </w:r>
    </w:p>
    <w:p>
      <w:pPr>
        <w:spacing w:before="0" w:after="0" w:line="240" w:lineRule="auto"/>
        <w:sectPr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7 Иерархическая структура работ</w:t>
      </w:r>
    </w:p>
    <w:p>
      <w:pPr>
        <w:pStyle w:val="Основнойтекстотчёта"/>
      </w:pPr>
      <w:r>
        <w:t>На рисунке 1 показана ИСР: проект разделён на четыре стадии и десять пакетов. Пакет считается завершённым по принятому результату; календарные сроки и трудозатраты раскрыты в таблицах 4 и 5.</w:t>
      </w:r>
    </w:p>
    <w:p>
      <w:pPr>
        <w:keepNext/>
        <w:spacing w:before="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9000000" cy="4650000"/>
            <wp:docPr id="298370852" name="Picture 298370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3_wb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>Рисунок 1 – Иерархическая структура проекта автоматизации</w:t>
      </w:r>
    </w:p>
    <w:p>
      <w:pPr>
        <w:pStyle w:val="1"/>
        <w:pageBreakBefore/>
      </w:pPr>
      <w:r>
        <w:t>8 Пакеты работ и исполнители</w:t>
      </w:r>
    </w:p>
    <w:p>
      <w:pPr>
        <w:pStyle w:val="Основнойтекстотчёта"/>
      </w:pPr>
      <w:r>
        <w:t>Н1–Н12 — недели относительно начала проекта. Трудоёмкость указана суммарно для всех исполнителей пакета, а не длительность работы одного сотрудника.</w:t>
      </w:r>
    </w:p>
    <w:p>
      <w:pPr>
        <w:pStyle w:val="Подписьтаблицы"/>
      </w:pPr>
      <w:r>
        <w:t>Таблица 4 – Требования, проектирование и начало разработки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2835"/>
        <w:gridCol w:w="1020"/>
        <w:gridCol w:w="1020"/>
        <w:gridCol w:w="4876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 ИСР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Пакет работ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Исполнитель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Чел.-ч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Обследование и модель AS-IS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Аналитик; менеджер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Н1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Реестр потоков и подтверждённые границы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Требования и критерии приёмки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Аналитик; ведущий разработчик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Н2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ТЗ, приоритеты и измеримые критерии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Модель данных и версий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Ведущий разработчик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Н3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Связи компонент–модельный ряд–карточка и правила версий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Проект интерфейсов и правил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Аналитик; разработчик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Н3–Н4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Сценарии, макеты, форматы обмена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Справочники и модельный ряд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Разработчик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Н4–Н6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Создание версий и проверка совместимости</w:t>
            </w:r>
          </w:p>
        </w:tc>
      </w:tr>
    </w:tbl>
    <w:p>
      <w:pPr>
        <w:pStyle w:val="Основнойтекстотчёта"/>
      </w:pPr>
      <w:r>
        <w:t>Зависимости: 1.2 опирается на 1.1; 2.1 и 2.2 начинаются после утверждения требований; 3.1 начинается после согласования модели данных 2.1. Завершение требований утверждает директор, проектные решения проверяет ведущий разработчик.</w:t>
      </w:r>
    </w:p>
    <w:p>
      <w:pPr>
        <w:pStyle w:val="1"/>
        <w:pageBreakBefore/>
      </w:pPr>
      <w:r>
        <w:t>8 Пакеты работ и исполнители — продолжение</w:t>
      </w:r>
    </w:p>
    <w:p>
      <w:pPr>
        <w:pStyle w:val="Подписьтаблицы"/>
      </w:pPr>
      <w:r>
        <w:t>Таблица 5 – Завершение разработки и внедрение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08"/>
        <w:gridCol w:w="2835"/>
        <w:gridCol w:w="1020"/>
        <w:gridCol w:w="1020"/>
        <w:gridCol w:w="4876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Код ИСР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Пакет работ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Исполнитель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Чел.-ч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Проверяемый результат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Расчёты и карточки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Разработчик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Н6–Н7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Расчётная ведомость, шаблон, проверка полей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Обмен и аудит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Ведущий разработчик; разработчик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Н7–Н8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Загрузка источников, отправка, статусы, история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Интеграционные испытания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Тестировщик; разработчик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Н9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Протокол; нет блокирующих дефектов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Инструкции, обучение и пилот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Аналитик; менеджер; тестировщик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Н10–Н11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Инструкции и журнал пилота по 100 операциям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260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Приёмка и передача</w:t>
            </w:r>
          </w:p>
        </w:tc>
        <w:tc>
          <w:tcPr>
            <w:tcW w:type="dxa" w:w="283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Ведущий разработчик; разработчик; администратор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Н12</w:t>
            </w:r>
          </w:p>
        </w:tc>
        <w:tc>
          <w:tcPr>
            <w:tcW w:type="dxa" w:w="1020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4876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Акт приёмки, резервная копия, регламент поддержки</w:t>
            </w:r>
          </w:p>
        </w:tc>
      </w:tr>
    </w:tbl>
    <w:p>
      <w:pPr>
        <w:pStyle w:val="Основнойтекстотчёта"/>
      </w:pPr>
      <w:r>
        <w:t>Пакет 3.2 использует справочники 3.1 и сценарии 2.2; 3.3 подключает обмен к готовым структурам данных. Испытания 4.1 начинаются после завершения 3.1–3.3. Пилот 4.2 допускается при отсутствии блокирующих дефектов; приёмка 4.3 — после устранения замечаний пилота.</w:t>
      </w:r>
    </w:p>
    <w:p>
      <w:pPr>
        <w:pStyle w:val="Основнойтекстотчёта"/>
      </w:pPr>
      <w:r>
        <w:t>Контрольные точки: Н2 — требования; Н4 — проект; Н8 — готовая сборка; Н9 — допуск к пилоту; Н11 — результаты пилота; Н12 — решение о вводе. Руководство проектом совмещает ведущий разработчик, а бизнес-решения остаются у директора и менеджера.</w:t>
      </w:r>
    </w:p>
    <w:p>
      <w:pPr>
        <w:spacing w:before="0" w:after="0" w:line="240" w:lineRule="auto"/>
        <w:sectPr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9 Ресурсы и контроль бюджета</w:t>
      </w:r>
    </w:p>
    <w:p>
      <w:pPr>
        <w:pStyle w:val="Основнойтекстотчёта"/>
      </w:pPr>
      <w:r>
        <w:t>Сводная плановая трудоёмкость составляет 432 чел.-ч. В таблице 6 представлены роли проекта; это назначаемые функции, а не утверждение о существующих штатных должностях.</w:t>
      </w:r>
    </w:p>
    <w:p>
      <w:pPr>
        <w:pStyle w:val="Подписьтаблицы"/>
      </w:pPr>
      <w:r>
        <w:t>Таблица 6 – Распределение трудозатрат и затрат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304"/>
        <w:gridCol w:w="2268"/>
        <w:gridCol w:w="2268"/>
      </w:tblGrid>
      <w:tr>
        <w:trPr>
          <w:cantSplit/>
          <w:tblHeader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Роль</w:t>
            </w:r>
          </w:p>
        </w:tc>
        <w:tc>
          <w:tcPr>
            <w:tcW w:type="dxa" w:w="130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Чел.-ч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Ставка, руб./ч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Сумма, руб.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Аналитик</w:t>
            </w:r>
          </w:p>
        </w:tc>
        <w:tc>
          <w:tcPr>
            <w:tcW w:type="dxa" w:w="130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1000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64000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Ведущий разработчик / руководитель</w:t>
            </w:r>
          </w:p>
        </w:tc>
        <w:tc>
          <w:tcPr>
            <w:tcW w:type="dxa" w:w="130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1500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96000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Разработчик</w:t>
            </w:r>
          </w:p>
        </w:tc>
        <w:tc>
          <w:tcPr>
            <w:tcW w:type="dxa" w:w="130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192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1200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230400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Тестировщик</w:t>
            </w:r>
          </w:p>
        </w:tc>
        <w:tc>
          <w:tcPr>
            <w:tcW w:type="dxa" w:w="130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1000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56000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Менеджер и эксперты предметной области</w:t>
            </w:r>
          </w:p>
        </w:tc>
        <w:tc>
          <w:tcPr>
            <w:tcW w:type="dxa" w:w="130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1000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40000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Администратор / внедрение</w:t>
            </w:r>
          </w:p>
        </w:tc>
        <w:tc>
          <w:tcPr>
            <w:tcW w:type="dxa" w:w="130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1600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25600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30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432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26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512000</w:t>
            </w:r>
          </w:p>
        </w:tc>
      </w:tr>
    </w:tbl>
    <w:p>
      <w:pPr>
        <w:pStyle w:val="Основнойтекстотчёта"/>
      </w:pPr>
      <w:r>
        <w:t>Ставки условные, применены только для планирования. Общая оценка: 512 000 + 20 000 + 60 000 = 592 000 руб., что ниже ограничения 600 000 руб. Резерв расходуется по решению руководителя проекта после оценки причины отклонения.</w:t>
      </w:r>
    </w:p>
    <w:p>
      <w:pPr>
        <w:pStyle w:val="Основнойтекстотчёта"/>
      </w:pPr>
      <w:r>
        <w:t>План разработчика по неделям Н1–Н12: 0, 0, 24, 32, 24, 24, 24, 24, 16, 8, 0, 16 ч. Итого 192 ч; максимум 32 ч/нед. Остальные 240 ч распределяются между аналитикой, архитектурой, испытаниями и экспертной проверкой. Передача результата 3.1 для работы 3.2 выполняется в начале Н6.</w:t>
      </w:r>
    </w:p>
    <w:p>
      <w:pPr>
        <w:pStyle w:val="Основнойтекстотчёта"/>
      </w:pPr>
      <w:r>
        <w:t>Уточнение требований и проверка исходных данных уменьшают риск переделки. Недоступность внешнего обмена отрабатывается на сохранённых ответах и тестовых сценариях; промышленный доступ необходим до пилота. При недостаточной загрузке пилота продлевается наблюдение, а критерий не объявляется выполненным по неполной выборке.</w:t>
      </w:r>
    </w:p>
    <w:p>
      <w:pPr>
        <w:spacing w:before="0" w:after="0" w:line="240" w:lineRule="auto"/>
        <w:sectPr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10 Распределение трудоёмкости по пакетам</w:t>
      </w:r>
    </w:p>
    <w:p>
      <w:pPr>
        <w:pStyle w:val="Основнойтекстотчёта"/>
      </w:pPr>
      <w:r>
        <w:t>В таблице 7 приведена полная раскладка затрат труда. В таблицах 4 и 5 перечислены основные исполнители; таблица 7 также учитывает консультации, контроль качества и развёртывание.</w:t>
      </w:r>
    </w:p>
    <w:p>
      <w:pPr>
        <w:pStyle w:val="Подписьтаблицы"/>
      </w:pPr>
      <w:r>
        <w:t>Таблица 7 – Трудозатраты ролей на пакеты работ, чел.-ч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531"/>
        <w:gridCol w:w="2494"/>
        <w:gridCol w:w="1984"/>
        <w:gridCol w:w="1984"/>
        <w:gridCol w:w="1531"/>
        <w:gridCol w:w="2438"/>
        <w:gridCol w:w="1361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ИСР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Аналитик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Ведущий разработчик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Разработчик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Тестировщик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Эксперты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Администратор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DEDED"/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Всего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1.1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1.2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2.2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3.2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3.3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249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192</w:t>
            </w:r>
          </w:p>
        </w:tc>
        <w:tc>
          <w:tcPr>
            <w:tcW w:type="dxa" w:w="1984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2438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36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pStyle w:val="Тексттаблицы"/>
              <w:keepNext w:val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432</w:t>
            </w:r>
          </w:p>
        </w:tc>
      </w:tr>
    </w:tbl>
    <w:p>
      <w:pPr>
        <w:spacing w:before="0" w:after="0" w:line="240" w:lineRule="auto"/>
        <w:sectPr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</w:pPr>
      <w:r>
        <w:t>11 Выводы</w:t>
      </w:r>
    </w:p>
    <w:p>
      <w:pPr>
        <w:pStyle w:val="Основнойтекстотчёта"/>
      </w:pPr>
      <w:r>
        <w:t>Разработан план устранения шести проблем обработки информации. Цель конкретизирована через пилот ИС, срок 12 недель и критерии качества карточек, актуальности источников, времени подготовки и прослеживаемости. ИСР включает четыре стадии и десять пакетов с исполнителями и проверяемыми результатами.</w:t>
      </w:r>
    </w:p>
    <w:p>
      <w:pPr>
        <w:pStyle w:val="Основнойтекстотчёта"/>
      </w:pPr>
      <w:r>
        <w:t>Плановая трудоёмкость составляет 432 чел.-ч, оценка затрат с резервом — 592 тыс. руб. Первым обязательным результатом проекта является уточнение исходных данных и согласование требований; только после этого расчётные параметры становятся утверждёнными ограничениями. Модели практик 4 и 5 детализируют существующие операции и способ их изменения.</w:t>
      </w:r>
    </w:p>
    <w:p>
      <w:pPr>
        <w:pStyle w:val="Heading2"/>
      </w:pPr>
      <w:r>
        <w:t>Источники</w:t>
      </w:r>
    </w:p>
    <w:p>
      <w:pPr>
        <w:pStyle w:val="Основнойтекстотчёта"/>
      </w:pPr>
      <w:r>
        <w:t>1. Информационный менеджмент. Методические указания к практике. Практическая работа 3. С. 16–20.</w:t>
      </w:r>
    </w:p>
    <w:p>
      <w:pPr>
        <w:pStyle w:val="Основнойтекстотчёта"/>
      </w:pPr>
      <w:r>
        <w:t>2. Албахтин И.В. Информационный менеджмент. Практическая работа 1. Экспресс-обследование ООО «Юкомс». Москва, 2026.</w:t>
      </w:r>
    </w:p>
    <w:p>
      <w:pPr>
        <w:pStyle w:val="Основнойтекстотчёта"/>
      </w:pPr>
      <w:r>
        <w:t>3. Албахтин И.В. Информационный менеджмент. Практическая работа 2. Исследование информационных потоков. Москва, 2026.</w:t>
      </w:r>
    </w:p>
    <w:sectPr w:rsidR="004651E5" w:rsidRPr="002A2FAC" w:rsidSect="002A2FAC">
      <w:pgSz w:w="11906" w:h="16838"/>
      <w:pgMar w:top="1134" w:right="850" w:bottom="1134" w:left="1701" w:header="720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4"/>
      </w:rPr>
    </w:r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widowControl/>
      <w:spacing w:after="120" w:line="360" w:lineRule="auto" w:before="240"/>
      <w:ind w:left="0" w:firstLine="0" w:right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Основнойтекстотчёта">
    <w:name w:val="Основной текст отчёта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Тексттаблицы">
    <w:name w:val="Текст таблицы"/>
    <w:pPr>
      <w:widowControl/>
      <w:spacing w:line="240" w:lineRule="auto" w:before="0" w:after="0"/>
      <w:ind w:firstLine="0" w:left="0" w:right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Подписьтаблицы">
    <w:name w:val="Подпись таблицы"/>
    <w:pPr>
      <w:keepNext/>
      <w:keepLines/>
      <w:widowControl/>
      <w:spacing w:line="240" w:lineRule="auto" w:before="120" w:after="60"/>
      <w:ind w:firstLine="0" w:left="0" w:right="0"/>
      <w:jc w:val="left"/>
    </w:pPr>
    <w:rPr>
      <w:rFonts w:ascii="Times New Roman" w:hAnsi="Times New Roman"/>
      <w:b w:val="0"/>
      <w:i/>
      <w:color w:val="000000"/>
      <w:sz w:val="24"/>
    </w:rPr>
  </w:style>
  <w:style w:type="paragraph" w:customStyle="1" w:styleId="Подписьрисунка">
    <w:name w:val="Подпись рисунка"/>
    <w:pPr>
      <w:keepLines/>
      <w:widowControl/>
      <w:spacing w:line="240" w:lineRule="auto" w:before="60" w:after="120"/>
      <w:ind w:firstLine="0" w:left="0" w:right="0"/>
      <w:jc w:val="center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widowControl/>
      <w:spacing w:line="360" w:lineRule="auto" w:before="240" w:after="120"/>
      <w:ind w:firstLine="0" w:left="0" w:right="0"/>
      <w:jc w:val="left"/>
      <w:outlineLvl w:val="1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Информационный менеджмент. Практическая работа 3. План автоматизации и структура работ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