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Droid Sans Fallback" w:hAnsi="Times New Roman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 ПО ПРАКТИЧЕСКОЙ РАБОТЕ № 4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«Информационный менеджмент»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Droid Sans Fallback" w:hAnsi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Пяткин В.В.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/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  <w:r w:rsidRPr="00867FE9">
        <w:rPr>
          <w:rFonts w:ascii="Times New Roman" w:eastAsia="Droid Sans Fallback" w:hAnsi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/>
      </w:pPr>
      <w:r>
        <w:t>Практическая работа 4</w:t>
        <w:br/>
        <w:t>Моделирование бизнес-процесса AS-IS</w:t>
      </w:r>
    </w:p>
    <w:p>
      <w:pPr>
        <w:pStyle w:val="Heading2"/>
      </w:pPr>
      <w:r>
        <w:t>1 Цель и индивидуальное задание</w:t>
      </w:r>
    </w:p>
    <w:p>
      <w:pPr>
        <w:pStyle w:val="Основнойтекстотчёта"/>
      </w:pPr>
      <w:r>
        <w:t>Цель работы — построить модель существующего процесса формирования и актуализации карточек компьютерных систем ООО «Юкомс», определить его входы, выходы, управление, ресурсы и подпроцессы, привязать проблемы обработки информации к конкретным действиям [1].</w:t>
      </w:r>
    </w:p>
    <w:p>
      <w:pPr>
        <w:pStyle w:val="Основнойтекстотчёта"/>
      </w:pPr>
      <w:r>
        <w:t>Индивидуальное задание: использовать описание организации из практики 1 и потоки F01–F14 из практики 2; построить контекстную диаграмму и декомпозицию в IDEF0, описать промежуточные результаты и сделать выводы о состоянии процесса.</w:t>
      </w:r>
    </w:p>
    <w:p>
      <w:pPr>
        <w:pStyle w:val="Heading2"/>
      </w:pPr>
      <w:r>
        <w:t>2 Этапы выполнения работы</w:t>
      </w:r>
    </w:p>
    <w:p>
      <w:pPr>
        <w:pStyle w:val="Основнойтекстотчёта"/>
      </w:pPr>
      <w:r>
        <w:t>Определены границы и результат процесса; составлен перечень ресурсов ICOM; выделены четыре подпроцесса; установлены их связи и возврат на исправление; построены диаграммы A-0 и A0; выполнен анализ недостатков.</w:t>
      </w:r>
    </w:p>
    <w:p>
      <w:pPr>
        <w:pStyle w:val="Heading2"/>
      </w:pPr>
      <w:r>
        <w:t>3 Характеристика процесса</w:t>
      </w:r>
    </w:p>
    <w:p>
      <w:pPr>
        <w:pStyle w:val="Основнойтекстотчёта"/>
      </w:pPr>
      <w:r>
        <w:t>Название процесса — «Сформировать и актуализировать карточку компьютерной системы». Его цель — подготовить корректное товарное предложение и получить подтверждённый результат публикации. Координатор — менеджер маркетплейсов; межфункциональные вопросы и приоритеты разрешает генеральный директор как владелец процесса.</w:t>
      </w:r>
    </w:p>
    <w:p>
      <w:pPr>
        <w:pStyle w:val="Основнойтекстотчёта"/>
      </w:pPr>
      <w:r>
        <w:t>Начало процесса — задание на новую карточку либо изменение состава, цены или доступности компонентов. Окончание — опубликованный вариант с зафиксированным статусом либо документированное решение об отказе или приостановке. Физическая сборка, продажи, доставка и бухгалтерский учёт в модель не включаются.</w:t>
      </w:r>
    </w:p>
    <w:p>
      <w:pPr>
        <w:spacing w:before="0" w:after="0" w:line="240" w:lineRule="auto"/>
        <w:sectPr>
          <w:footerReference w:type="default" r:id="rId28"/>
          <w:footerReference w:type="first" r:id="rId29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</w:p>
    <w:p>
      <w:pPr>
        <w:pStyle w:val="1"/>
      </w:pPr>
      <w:r>
        <w:t>4 Контекстная модель существующего процесса</w:t>
      </w:r>
    </w:p>
    <w:p>
      <w:pPr>
        <w:pStyle w:val="Основнойтекстотчёта"/>
      </w:pPr>
      <w:r>
        <w:t>Состав ресурсов приведён в IDEF0-диаграмме.</w:t>
      </w:r>
    </w:p>
    <w:p>
      <w:pPr>
        <w:keepNext/>
        <w:spacing w:before="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4625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contex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4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 – Контекстная диаграмма A-0 процесса AS-IS в IDEF0</w:t>
      </w:r>
    </w:p>
    <w:p>
      <w:pPr>
        <w:pStyle w:val="1"/>
        <w:pageBreakBefore/>
      </w:pPr>
      <w:r>
        <w:t>5 Входы, выходы и ресурсы процесса</w:t>
      </w:r>
    </w:p>
    <w:p>
      <w:pPr>
        <w:pStyle w:val="Основнойтекстотчёта"/>
      </w:pPr>
      <w:r>
        <w:t>Таблица 1 раскрывает стрелки ICOM и их связь с потоками F01–F14 из практики 2.</w:t>
      </w:r>
    </w:p>
    <w:p>
      <w:pPr>
        <w:pStyle w:val="Подписьтаблицы"/>
      </w:pPr>
      <w:r>
        <w:t>Таблица 1 – Ресурсы контекстной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891"/>
        <w:gridCol w:w="4025"/>
        <w:gridCol w:w="6633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Ресурс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Источник или получатель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Краткое описание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Заявка и исходный модельный ряд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F01, F03; менеджер и производство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Основание создания или изменения карточки, требуемый состав и приоритет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Цены и остатки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F02, F05; поставщики и склад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Предложения, доступные количества и время получения исходных данных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I3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Изображения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F09; дизайнер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Файлы, подготовленные по F08, и сведения об изображённой конфигурации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I4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Ответ о публикации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F11; Ozon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Итоговый статус обработки или перечень замечаний к отправленным данным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Пакет карточки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F10; Ozon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Согласованные характеристики, цена, масса, описание и изображения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Статус и замечания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F11/F12/F14; менеджер, производство, ИТ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 проверки и обработки; сведения для исправления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O3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Реестр и отчёт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F13; менеджер и директор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карточек, выполненные работы, сроки и нерешённые проблемы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Приоритеты и правила цены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Директор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Порядок работ, применяемая наценка и условия согласования цены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Правила совместимости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Допустимые сочетания сокета, памяти, размеров и мощности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C3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Требования к карточке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Правила выбранной категории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Обязательные характеристики, форматы и требования к содержанию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Участники процесса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Менеджер, производство, дизайнер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Подготовка, проверка и согласование данных; ИТ устраняет технические сбои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M2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Средства выполнения</w:t>
            </w:r>
          </w:p>
        </w:tc>
        <w:tc>
          <w:tcPr>
            <w:tcW w:type="dxa" w:w="402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Рабочие места и используемые средства</w:t>
            </w:r>
          </w:p>
        </w:tc>
        <w:tc>
          <w:tcPr>
            <w:tcW w:type="dxa" w:w="6633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25" w:type="dxa"/>
              <w:bottom w:w="25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Электронные таблицы, папки изображений, почта, сообщения и кабинет продавца</w:t>
            </w:r>
          </w:p>
        </w:tc>
      </w:tr>
    </w:tbl>
    <w:p>
      <w:pPr>
        <w:pStyle w:val="1"/>
        <w:pageBreakBefore/>
      </w:pPr>
      <w:r>
        <w:t>6 Декомпозиция существующего процесса</w:t>
      </w:r>
    </w:p>
    <w:p>
      <w:pPr>
        <w:pStyle w:val="Основнойтекстотчёта"/>
      </w:pPr>
      <w:r>
        <w:t>На рисунке 2 процесс A0 разделён на A1–A4. Горизонтальные и обратные стрелки обозначают передаваемые данные, а не календарную последовательность. D1–D4 — внутренние документы между функциями.</w:t>
      </w:r>
    </w:p>
    <w:p>
      <w:pPr>
        <w:keepNext/>
        <w:spacing w:before="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650000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decom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 – Декомпозиция A0 процесса AS-IS в IDEF0</w:t>
      </w:r>
    </w:p>
    <w:p>
      <w:pPr>
        <w:pStyle w:val="1"/>
        <w:pageBreakBefore/>
      </w:pPr>
      <w:r>
        <w:t>7 Информационные связи подпроцессов</w:t>
      </w:r>
    </w:p>
    <w:p>
      <w:pPr>
        <w:pStyle w:val="Основнойтекстотчёта"/>
      </w:pPr>
      <w:r>
        <w:t>В таблице 2 описаны преобразования информации. Управление распределено следующим образом: A1 — C1; A2 — C1/C2; A3 — C3; A4 — C1/C3. Для каждой функции используются соответствующие участники M1 и средства M2.</w:t>
      </w:r>
    </w:p>
    <w:p>
      <w:pPr>
        <w:pStyle w:val="Подписьтаблицы"/>
      </w:pPr>
      <w:r>
        <w:t>Таблица 2 – Входная, промежуточная и выходная документация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324"/>
        <w:gridCol w:w="1417"/>
        <w:gridCol w:w="3969"/>
        <w:gridCol w:w="3402"/>
        <w:gridCol w:w="2494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Подпроцесс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Вход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Промежуточный результат и обработка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Выход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Исполнитель и средства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A1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Собрать исходные данные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I1, I2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Запросы F03, сверка поставщиков и склада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D1: комплект данных и исходный модельный ряд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Менеджер; таблицы и сообщения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A2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Проверить модельный ряд и рассчитать параметры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D1; D4 при возврате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F04/F07; ручная проверка и расчёт F06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D2: согласованный модельный ряд, заключение и ведомость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Производство, менеджер; файлы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A3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Подготовить содержание карточки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D2, I3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Задание F08, ручное заполнение атрибутов, сверка изображений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D3: заполненная карточка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Менеджер, дизайнер; редактор и файлы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A4</w:t>
            </w:r>
          </w:p>
        </w:tc>
        <w:tc>
          <w:tcPr>
            <w:tcW w:type="dxa" w:w="23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Опубликовать и учесть результат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D3, I4</w:t>
            </w:r>
          </w:p>
        </w:tc>
        <w:tc>
          <w:tcPr>
            <w:tcW w:type="dxa" w:w="396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Отправка F10; чтение ответа F11; обращения F12/F14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O1, O2, O3; D4: замечания или изменения для повторной проверки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Менеджер, ИТ; кабинет продавца и журнал</w:t>
            </w:r>
          </w:p>
        </w:tc>
      </w:tr>
    </w:tbl>
    <w:p>
      <w:pPr>
        <w:pStyle w:val="Основнойтекстотчёта"/>
      </w:pPr>
      <w:r>
        <w:t>Баланс модели: I1/I2 поступают в A1; I3 — в A3; I4 — в A4; выходы O1–O3 формирует A4. D1 соединяет A1 с A2, D2 — A2 с A3, D3 — A3 с A4. D4 возвращает замечания к A2; если необходимы новые исходные данные, выполняется новый цикл A1. Входы и выходы нижнего уровня соответствуют контексту.</w:t>
      </w:r>
    </w:p>
    <w:p>
      <w:pPr>
        <w:spacing w:before="0" w:after="0" w:line="240" w:lineRule="auto"/>
        <w:sectPr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8 Детализация операций и проблем</w:t>
      </w:r>
    </w:p>
    <w:p>
      <w:pPr>
        <w:pStyle w:val="Heading2"/>
      </w:pPr>
      <w:r>
        <w:t>8.1 Выполнение функций</w:t>
      </w:r>
    </w:p>
    <w:p>
      <w:pPr>
        <w:pStyle w:val="Основнойтекстотчёта"/>
      </w:pPr>
      <w:r>
        <w:t>A1 включает получение задания, сбор предложений, сверку доступности и запрос исходного состава. Если коды компонентов различаются в прайсе и складском учёте, менеджер вручную устанавливает соответствие. До разрешения расхождений данные не считаются полными.</w:t>
      </w:r>
    </w:p>
    <w:p>
      <w:pPr>
        <w:pStyle w:val="Основнойтекстотчёта"/>
      </w:pPr>
      <w:r>
        <w:t>A2 включает выбор компонентов, проверку совместимости, согласование состава и расчёт цены и массы. Производство проверяет технические ограничения, менеджер использует согласованный вариант для ведомости. При возврате изменения проверяются повторно, даже если затронута только часть конфигурации.</w:t>
      </w:r>
    </w:p>
    <w:p>
      <w:pPr>
        <w:pStyle w:val="Основнойтекстотчёта"/>
      </w:pPr>
      <w:r>
        <w:t>A3 включает подготовку названия и описания, перенос характеристик и расчётных значений, запрос изображений и итоговую сверку. Ручное заполнение разных форм создаёт риск несоответствия карточки последней версии модельного ряда.</w:t>
      </w:r>
    </w:p>
    <w:p>
      <w:pPr>
        <w:pStyle w:val="Основнойтекстотчёта"/>
      </w:pPr>
      <w:r>
        <w:t>A4 включает передачу карточки, ожидание внешней обработки, проверку статуса, запись результата и подготовку сводки. При замечаниях карточка возвращается на исправление. При техническом сбое менеджер передаёт данные ИТ-поддержке; успешная передача данных не заменяет проверку итогового статуса.</w:t>
      </w:r>
    </w:p>
    <w:p>
      <w:pPr>
        <w:pStyle w:val="Heading2"/>
      </w:pPr>
      <w:r>
        <w:t>8.2 Сценарий замены компонента</w:t>
      </w:r>
    </w:p>
    <w:p>
      <w:pPr>
        <w:pStyle w:val="Основнойтекстотчёта"/>
      </w:pPr>
      <w:r>
        <w:t>После изменения наличия менеджер выявляет необходимость замены видеокарты. Производство согласует новый компонент, менеджер пересчитывает цену и массу, дизайнер проверяет соответствие изображений. Затем менеджер вручную обновляет связанные карточки. Если одна из них не найдена, в продаже остаётся предложение со старым составом — проявление P-03.</w:t>
      </w:r>
    </w:p>
    <w:p>
      <w:pPr>
        <w:pStyle w:val="1"/>
        <w:pageBreakBefore/>
      </w:pPr>
      <w:r>
        <w:t>9 Недостатки процесса и выводы</w:t>
      </w:r>
    </w:p>
    <w:p>
      <w:pPr>
        <w:pStyle w:val="Основнойтекстотчёта"/>
      </w:pPr>
      <w:r>
        <w:t>В таблице 3 проблемы сопоставлены с функциями. Оценка влияния качественная: критическое — возможна некорректная конфигурация или цена; высокое — задержки, возвраты и трудности сопровождения.</w:t>
      </w:r>
    </w:p>
    <w:p>
      <w:pPr>
        <w:pStyle w:val="Подписьтаблицы"/>
      </w:pPr>
      <w:r>
        <w:t>Таблица 3 – Привязка недостатков к функциям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417"/>
        <w:gridCol w:w="5216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Проблема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Функции</w:t>
            </w:r>
          </w:p>
        </w:tc>
        <w:tc>
          <w:tcPr>
            <w:tcW w:type="dxa" w:w="521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Влияние и направление изменения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P-01 Повторный ввод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A1, A2, A3</w:t>
            </w:r>
          </w:p>
        </w:tc>
        <w:tc>
          <w:tcPr>
            <w:tcW w:type="dxa" w:w="521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Высокое. Централизовать данные и исключить повторный перенос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P-02 Совместимость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A2</w:t>
            </w:r>
          </w:p>
        </w:tc>
        <w:tc>
          <w:tcPr>
            <w:tcW w:type="dxa" w:w="521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Критическое. Формализовать и автоматически проверять правила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P-03 Замена компонента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A2, A3, A4</w:t>
            </w:r>
          </w:p>
        </w:tc>
        <w:tc>
          <w:tcPr>
            <w:tcW w:type="dxa" w:w="521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Высокое. Находить зависимые модельный ряд и обновлять связанные карточки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P-04 Цена и наличие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A1, A2, A4</w:t>
            </w:r>
          </w:p>
        </w:tc>
        <w:tc>
          <w:tcPr>
            <w:tcW w:type="dxa" w:w="521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Критическое. Хранить снимки источников и проверять их актуальность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P-05 Неполная карточка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A3, A4</w:t>
            </w:r>
          </w:p>
        </w:tc>
        <w:tc>
          <w:tcPr>
            <w:tcW w:type="dxa" w:w="521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Высокое. Проверять поля до отправки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P-06 История операций</w:t>
            </w:r>
          </w:p>
        </w:tc>
        <w:tc>
          <w:tcPr>
            <w:tcW w:type="dxa" w:w="141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A1–A4</w:t>
            </w:r>
          </w:p>
        </w:tc>
        <w:tc>
          <w:tcPr>
            <w:tcW w:type="dxa" w:w="521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Высокое. Связать версии, действия и ответы общим журналом</w:t>
            </w:r>
          </w:p>
        </w:tc>
      </w:tr>
    </w:tbl>
    <w:p>
      <w:pPr>
        <w:pStyle w:val="Основнойтекстотчёта"/>
      </w:pPr>
      <w:r>
        <w:t>Построены контекст и декомпозиция модели AS-IS, описаны четыре функции и все граничные потоки. Основные недостатки связаны с ручной поддержкой соответствия документов и поздним обнаружением расхождений. В практике 5 эти операции преобразуются в единый управляемый процесс с автоматическими проверками и согласованием ответственных лиц.</w:t>
      </w:r>
    </w:p>
    <w:p>
      <w:pPr>
        <w:pStyle w:val="Heading2"/>
      </w:pPr>
      <w:r>
        <w:t>Источники</w:t>
      </w:r>
    </w:p>
    <w:p>
      <w:pPr>
        <w:pStyle w:val="Основнойтекстотчёта"/>
      </w:pPr>
      <w:r>
        <w:t>1. Информационный менеджмент. Методические указания к практике. Практическая работа 4. С. 21–27.</w:t>
      </w:r>
    </w:p>
    <w:p>
      <w:pPr>
        <w:pStyle w:val="Основнойтекстотчёта"/>
      </w:pPr>
      <w:r>
        <w:t>2. Албахтин И.В. Информационный менеджмент. Практическая работа 1. Экспресс-обследование ООО «Юкомс». Москва, 2026.</w:t>
      </w:r>
    </w:p>
    <w:p>
      <w:pPr>
        <w:pStyle w:val="Основнойтекстотчёта"/>
      </w:pPr>
      <w:r>
        <w:t>3. Албахтин И.В. Информационный менеджмент. Практическая работа 2. Исследование информационных потоков. Москва, 2026.</w:t>
      </w:r>
    </w:p>
    <w:sectPr w:rsidR="004651E5" w:rsidRPr="002A2FAC" w:rsidSect="002A2FAC"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4"/>
      </w:rPr>
    </w:r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widowControl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Основнойтекстотчёта">
    <w:name w:val="Основной текст отчёта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Тексттаблицы">
    <w:name w:val="Текст таблицы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Подписьтаблицы">
    <w:name w:val="Подпись таблицы"/>
    <w:pPr>
      <w:keepNext/>
      <w:keepLines/>
      <w:widowControl/>
      <w:spacing w:line="240" w:lineRule="auto" w:before="120" w:after="60"/>
      <w:ind w:firstLine="0" w:left="0" w:right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Подписьрисунка">
    <w:name w:val="Подпись рисунка"/>
    <w:pPr>
      <w:keepLines/>
      <w:widowControl/>
      <w:spacing w:line="240" w:lineRule="auto" w:before="60" w:after="120"/>
      <w:ind w:firstLine="0" w:left="0" w:right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60" w:lineRule="auto" w:before="240" w:after="120"/>
      <w:ind w:firstLine="0" w:left="0" w:right="0"/>
      <w:jc w:val="left"/>
      <w:outlineLvl w:val="1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Информационный менеджмент. Практическая работа 4. Моделирование бизнес-процесса «как есть»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