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a"/>
      </w:pPr>
      <w:r>
        <w:t>Практическая работа №2. Визуализация данных в Python</w:t>
      </w:r>
    </w:p>
    <w:p>
      <w:pPr>
        <w:pStyle w:val="1"/>
      </w:pPr>
      <w:r>
        <w:t>1. Цель и задачи работы</w:t>
      </w:r>
    </w:p>
    <w:p>
      <w:pPr/>
      <w:r>
        <w:t>Цель работы — освоить статическую и интерактивную визуализацию данных в Python, исследовать влияние параметров t-SNE и UMAP на двумерное представление многомерных объектов и сравнить измеренное время работы алгоритмов.</w:t>
      </w:r>
    </w:p>
    <w:p>
      <w:pPr/>
      <w:r>
        <w:t>В работе выполнены следующие задачи:</w:t>
      </w:r>
    </w:p>
    <w:p>
      <w:pPr>
        <w:pStyle w:val="a0"/>
      </w:pPr>
      <w:r>
        <w:t>загрузка и диагностика многомерного набора Bike Sharing средствами Pandas;</w:t>
      </w:r>
    </w:p>
    <w:p>
      <w:pPr>
        <w:pStyle w:val="a0"/>
      </w:pPr>
      <w:r>
        <w:t>построение столбчатой и круговой диаграмм с помощью Plotly graph_objects;</w:t>
      </w:r>
    </w:p>
    <w:p>
      <w:pPr>
        <w:pStyle w:val="a0"/>
      </w:pPr>
      <w:r>
        <w:t>построение линейных графиков с помощью Matplotlib;</w:t>
      </w:r>
    </w:p>
    <w:p>
      <w:pPr>
        <w:pStyle w:val="a0"/>
      </w:pPr>
      <w:r>
        <w:t>визуализация набора рукописных цифр при разных значениях перплексии t-SNE;</w:t>
      </w:r>
    </w:p>
    <w:p>
      <w:pPr>
        <w:pStyle w:val="a0"/>
      </w:pPr>
      <w:r>
        <w:t>визуализация тех же объектов UMAP при разных n_neighbors и min_dist;</w:t>
      </w:r>
    </w:p>
    <w:p>
      <w:pPr>
        <w:pStyle w:val="a0"/>
      </w:pPr>
      <w:r>
        <w:t>измерение времени и сравнение возможностей библиотек.</w:t>
      </w:r>
    </w:p>
    <w:p>
      <w:pPr>
        <w:pStyle w:val="1"/>
      </w:pPr>
      <w:r>
        <w:t>2. Исходные данные и первичная диагностика</w:t>
      </w:r>
    </w:p>
    <w:p>
      <w:pPr/>
      <w:r>
        <w:t>Основной набор — дневная таблица Capital Bikeshare за 2011–2012 годы. Она содержит 731 наблюдение и 16 исходных столбцов: календарные признаки, сезон, погодные условия, нормированные температуру, влажность и скорость ветра, а также число поездок случайных и зарегистрированных пользователей. Источник: UCI Machine Learning Repository, Bike Sharing Dataset, автор Hadi Fanaee-T.</w:t>
      </w:r>
    </w:p>
    <w:p>
      <w:pPr>
        <w:pStyle w:val="af5"/>
        <w:keepLines/>
      </w:pPr>
      <w:r>
        <w:t>Таблица 1. Основные группы признаков Bike Sharing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Группа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Поля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Смысл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Идентификатор и дата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instant, dteday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Номер записи и календарная дата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Календарь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season, yr, mnth, holiday, weekday, workingday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Сезон, год, месяц и тип дня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Погода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weathersit, temp, atemp, hum, windspeed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Погодный класс и нормированные измерения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Спрос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casual, registered, cnt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Поездки по типам пользователей и итог</w:t>
            </w:r>
          </w:p>
        </w:tc>
      </w:tr>
    </w:tbl>
    <w:p>
      <w:pPr>
        <w:spacing w:after="0"/>
      </w:pPr>
    </w:p>
    <w:p>
      <w:pPr>
        <w:pStyle w:val="aff8"/>
        <w:keepLines/>
      </w:pPr>
      <w:r>
        <w:t>df = pd.read_csv("data/day.csv", parse_dates=["dteday"])</w:t>
        <w:br/>
        <w:t>df.head()</w:t>
        <w:br/>
        <w:t>df.info()</w:t>
        <w:br/>
        <w:t>df.isna().sum()</w:t>
        <w:br/>
        <w:t>df.duplicated().sum()</w:t>
      </w:r>
    </w:p>
    <w:p>
      <w:pPr>
        <w:pStyle w:val="af5"/>
        <w:keepLines/>
      </w:pPr>
      <w:r>
        <w:t>Таблица 2. Первые пять строк исходного набора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 w:val="true"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Дата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Сезон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Погода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temp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hum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casual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registered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cnt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0.344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0.806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331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654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985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0.363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0.696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131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670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801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0.196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0.437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120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1229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1349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0.200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0.590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108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1454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1562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0.227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0.437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82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1518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1600</w:t>
            </w:r>
          </w:p>
        </w:tc>
      </w:tr>
    </w:tbl>
    <w:p>
      <w:pPr>
        <w:spacing w:after="0"/>
      </w:pPr>
    </w:p>
    <w:p>
      <w:pPr>
        <w:pStyle w:val="af5"/>
        <w:keepLines/>
      </w:pPr>
      <w:r>
        <w:t>Таблица 3. Результат первичной диагностики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Показатель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Размер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731 строк × 16 столбцов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Период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2011-01-01 — 2012-12-31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Пропущенные значения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Полные дубликаты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Всего поездок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3 292 679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Среднее в день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4504.35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Медиана в день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4548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Максимум в день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8714</w:t>
            </w:r>
          </w:p>
        </w:tc>
      </w:tr>
    </w:tbl>
    <w:p>
      <w:pPr>
        <w:spacing w:after="0"/>
      </w:pPr>
    </w:p>
    <w:p>
      <w:pPr/>
      <w:r>
        <w:t>Таблица не содержит пропусков и полных дубликатов, поэтому удаление или интерполяция строк не требуются. Проверка casual + registered = cnt выполнена для всех 731 наблюдения и не выявила расхождений.</w:t>
      </w:r>
    </w:p>
    <w:p>
      <w:pPr>
        <w:pStyle w:val="1"/>
      </w:pPr>
      <w:r>
        <w:t>3. Предобработка данных</w:t>
      </w:r>
    </w:p>
    <w:p>
      <w:pPr/>
      <w:r>
        <w:t>Дата преобразована в тип datetime. Числовые коды сезонов и погоды дополнены читаемыми категориальными названиями. Нормированные погодные показатели переведены в исходные единицы согласно описанию набора.</w:t>
      </w:r>
    </w:p>
    <w:p>
      <w:pPr>
        <w:pStyle w:val="aff8"/>
        <w:keepLines/>
      </w:pPr>
      <w:r>
        <w:t>clean["temp_c"] = clean["temp"] * 41</w:t>
        <w:br/>
        <w:t>clean["atemp_c"] = clean["atemp"] * 50</w:t>
        <w:br/>
        <w:t>clean["humidity_pct"] = clean["hum"] * 100</w:t>
        <w:br/>
        <w:t>clean["windspeed_kmh"] = clean["windspeed"] * 67</w:t>
        <w:br/>
        <w:t>assert (clean["casual"] + clean["registered"] == clean["cnt"]).all()</w:t>
      </w:r>
    </w:p>
    <w:p>
      <w:pPr/>
      <w:r>
        <w:t>Очищенная таблица сохранена в CSV и Parquet. Исходные признаки не удаляются: производные поля добавлены отдельно, чтобы сохранить проверяемую связь с источником.</w:t>
      </w:r>
    </w:p>
    <w:p>
      <w:pPr>
        <w:pStyle w:val="1"/>
      </w:pPr>
      <w:r>
        <w:t>4. Столбчатая диаграмма Plotly</w:t>
      </w:r>
    </w:p>
    <w:p>
      <w:pPr/>
      <w:r>
        <w:t>Дневные значения агрегированы по месяцам, чтобы даты оставались читаемыми. Высота и цвет столбца кодируют суммарное количество поездок за месяц. Граница каждого столбца чёрная, толщиной 2; высота интерактивного рисунка равна 700 px.</w:t>
      </w:r>
    </w:p>
    <w:p>
      <w:pPr>
        <w:pStyle w:val="aff8"/>
        <w:keepLines/>
      </w:pPr>
      <w:r>
        <w:t>go.Bar(</w:t>
        <w:br/>
        <w:t xml:space="preserve">    x=monthly["month_label"], y=monthly["cnt"],</w:t>
        <w:br/>
        <w:t xml:space="preserve">    marker=dict(color=monthly["cnt"], coloraxis="coloraxis",</w:t>
        <w:br/>
        <w:t xml:space="preserve">                line=dict(color="black", width=2))</w:t>
        <w:br/>
        <w:t>)</w:t>
        <w:br/>
        <w:t>fig.update_layout(</w:t>
        <w:br/>
        <w:t xml:space="preserve">    title=dict(x=0.5, font=dict(size=20)), height=700,</w:t>
        <w:br/>
        <w:t xml:space="preserve">    margin=dict(l=10, r=10, t=65, b=10)</w:t>
        <w:br/>
        <w:t>)</w:t>
        <w:br/>
        <w:t>fig.update_xaxes(title_font_size=16, tickfont_size=14,</w:t>
        <w:br/>
        <w:t xml:space="preserve">                 tickangle=315, gridwidth=2, gridcolor="ivory")</w:t>
        <w:br/>
        <w:t>fig.update_yaxes(title_font_size=16, tickfont_size=14,</w:t>
        <w:br/>
        <w:t xml:space="preserve">                 gridwidth=2, gridcolor="ivory")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4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b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1. Количество поездок по месяцам</w:t>
      </w:r>
    </w:p>
    <w:p>
      <w:pPr/>
      <w:r>
        <w:t>Пиковый месяц — 2012-09: 218 573 поездок. В 2012 году столбцы в основном выше соответствующих месяцев 2011 года; внутри каждого года виден подъём от зимы к тёплому сезону и спад к концу года.</w:t>
      </w:r>
    </w:p>
    <w:p>
      <w:pPr>
        <w:pStyle w:val="1"/>
      </w:pPr>
      <w:r>
        <w:t>5. Круговая диаграмма Plotly</w:t>
      </w:r>
    </w:p>
    <w:p>
      <w:pPr/>
      <w:r>
        <w:t>Для круговой диаграммы поездки сгруппированы по четырём сезонам. Небольшое число категорий позволяет разместить названия и доли без наложений.</w:t>
      </w:r>
    </w:p>
    <w:p>
      <w:pPr>
        <w:pStyle w:val="aff8"/>
        <w:keepLines/>
      </w:pPr>
      <w:r>
        <w:t>go.Pie(</w:t>
        <w:br/>
        <w:t xml:space="preserve">    labels=season_totals.index,</w:t>
        <w:br/>
        <w:t xml:space="preserve">    values=season_totals.values,</w:t>
        <w:br/>
        <w:t xml:space="preserve">    textinfo="label+percent",</w:t>
        <w:br/>
        <w:t xml:space="preserve">    marker=dict(colors=pie_colors,</w:t>
        <w:br/>
        <w:t xml:space="preserve">                line=dict(color="black", width=2))</w:t>
        <w:br/>
        <w:t>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33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ason_pi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3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2. Распределение поездок по сезонам</w:t>
      </w:r>
    </w:p>
    <w:p>
      <w:pPr/>
      <w:r>
        <w:t>Осень формирует наибольший объём — 1 061 129 поездок (32.2%)  а весна — наименьший: 471 348 (14.3%).</w:t>
      </w:r>
    </w:p>
    <w:p>
      <w:pPr>
        <w:pStyle w:val="1"/>
      </w:pPr>
      <w:r>
        <w:t>6. Линейные графики Matplotlib</w:t>
      </w:r>
    </w:p>
    <w:p>
      <w:pPr/>
      <w:r>
        <w:t>По общей временной оси сопоставлены три месячных показателя: случайные, зарегистрированные и все поездки. Каждый ряд вынесен в отдельную область построения и оформлен линией crimson, белыми маркерами с чёрной границей толщиной 2 и сеткой mistyrose толщиной 2.</w:t>
      </w:r>
    </w:p>
    <w:p>
      <w:pPr>
        <w:pStyle w:val="aff8"/>
        <w:keepLines/>
      </w:pPr>
      <w:r>
        <w:t>ax.plot(x, y, color="crimson", linewidth=2, marker="o",</w:t>
        <w:br/>
        <w:t xml:space="preserve">        markerfacecolor="white", markeredgecolor="black",</w:t>
        <w:br/>
        <w:t xml:space="preserve">        markeredgewidth=2)</w:t>
        <w:br/>
        <w:t>ax.grid(linewidth=2, color="mistyrose")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1087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thly_li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0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3. Динамика спроса по типам пользователей</w:t>
      </w:r>
    </w:p>
    <w:p>
      <w:pPr/>
      <w:r>
        <w:t>Все три ряда имеют сходную сезонную форму и заметный рост во втором году. Корреляция месячного общего спроса с зарегистрированными пользователями равна 0.991, со случайными — 0.922. Следовательно, основную динамику общего ряда задаёт зарегистрированная аудитория.</w:t>
      </w:r>
    </w:p>
    <w:p>
      <w:pPr>
        <w:pStyle w:val="1"/>
      </w:pPr>
      <w:r>
        <w:t>7. Визуализация многомерных данных t-SNE</w:t>
      </w:r>
    </w:p>
    <w:p>
      <w:pPr/>
      <w:r>
        <w:t>Для снижения размерности использован встроенный набор load_digits: 1 797 изображений цифр 0–9, каждое описано 64 интенсивностями пикселей. Пропуски отсутствуют; признаки стандартизированы. Во всех запусках зафиксирован random_state=42, изменялась только перплексия.</w:t>
      </w:r>
    </w:p>
    <w:p>
      <w:pPr>
        <w:pStyle w:val="aff8"/>
        <w:keepLines/>
      </w:pPr>
      <w:r>
        <w:t>TSNE(n_components=2, perplexity=perplexity,</w:t>
        <w:br/>
        <w:t xml:space="preserve">     init="pca", learning_rate="auto", max_iter=1000,</w:t>
        <w:br/>
        <w:t xml:space="preserve">     random_state=42).fit_transform(X_scaled)</w:t>
      </w:r>
    </w:p>
    <w:p>
      <w:pPr>
        <w:pStyle w:val="af5"/>
        <w:keepLines/>
      </w:pPr>
      <w:r>
        <w:t>Таблица 4. Результаты t-SNE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Параметры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Время, с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Trustworthiness@10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perplexity=5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1.4072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0.9807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perplexity=30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1.5196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0.9864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perplexity=50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1.9295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0.9857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89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sne_perplexit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4. t-SNE при разных значениях перплексии</w:t>
      </w:r>
    </w:p>
    <w:p>
      <w:pPr/>
      <w:r>
        <w:t>При перплексии 5 локальные группы сильнее дробятся. Значения 30 и 50 дают более цельные кластеры; лучший измеренный показатель сохранения локальных соседств получен при perplexity=30. Частичные пересечения объяснимы сходным написанием некоторых цифр. Положение далёких кластеров нельзя трактовать как точное расстояние в исходном 64-мерном пространстве.</w:t>
      </w:r>
    </w:p>
    <w:p>
      <w:pPr>
        <w:pStyle w:val="1"/>
      </w:pPr>
      <w:r>
        <w:t>8. Визуализация многомерных данных UMAP</w:t>
      </w:r>
    </w:p>
    <w:p>
      <w:pPr/>
      <w:r>
        <w:t>UMAP применён к тем же стандартизированным объектам. Уменьшение n_neighbors усиливает локальные детали, а уменьшение min_dist делает группы компактнее. Чтобы исключить многопоточную невоспроизводимость, использованы random_state=42 и n_jobs=1.</w:t>
      </w:r>
    </w:p>
    <w:p>
      <w:pPr>
        <w:pStyle w:val="aff8"/>
        <w:keepLines/>
      </w:pPr>
      <w:r>
        <w:t>umap.UMAP(n_components=2, n_neighbors=n_neighbors,</w:t>
        <w:br/>
        <w:t xml:space="preserve">          min_dist=min_dist, metric="euclidean",</w:t>
        <w:br/>
        <w:t xml:space="preserve">          random_state=42, n_jobs=1).fit_transform(X_scaled)</w:t>
      </w:r>
    </w:p>
    <w:p>
      <w:pPr>
        <w:pStyle w:val="af5"/>
        <w:keepLines/>
      </w:pPr>
      <w:r>
        <w:t>Таблица 5. Результаты UMAP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Параметры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Время, с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Trustworthiness@10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n_neighbors=5, min_dist=0.0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8.1133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0.9780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n_neighbors=15, min_dist=0.1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2.4129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0.9768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n_neighbors=50, min_dist=0.5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2.9469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0.9618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89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map_paramet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5. UMAP при разных n_neighbors и min_dist</w:t>
      </w:r>
    </w:p>
    <w:p>
      <w:pPr/>
      <w:r>
        <w:t>Конфигурация n_neighbors=5, min_dist=0 формирует самые компактные группы. При n_neighbors=50 и min_dist=0.5 облака становятся шире, а локальная метрика trustworthiness снижается. Поэтому параметры следует выбирать под задачу, а не по визуальной привлекательности одной проекции.</w:t>
      </w:r>
    </w:p>
    <w:p>
      <w:pPr>
        <w:pStyle w:val="1"/>
      </w:pPr>
      <w:r>
        <w:t>9. Сравнение времени работы</w:t>
      </w:r>
    </w:p>
    <w:p>
      <w:pPr>
        <w:pStyle w:val="af5"/>
        <w:keepLines/>
      </w:pPr>
      <w:r>
        <w:t>Таблица 6. Измеренное время всех запусков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Алгоритм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Параметры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Время, с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Trustworthiness@10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t-SNE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perplexity=5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1.4072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0.9807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t-SNE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perplexity=30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1.5196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0.9864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t-SNE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perplexity=50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1.9295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0.9857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UMAP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n_neighbors=5, min_dist=0.0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8.1133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0.9780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UMAP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n_neighbors=15, min_dist=0.1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2.4129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0.9768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UMAP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n_neighbors=50, min_dist=0.5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2.9469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0.9618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827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untime_comparis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2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6. Сравнение времени снижения размерности</w:t>
      </w:r>
    </w:p>
    <w:p>
      <w:pPr/>
      <w:r>
        <w:t>Среднее время t-SNE составило 1.6188 с. Среднее время всех запусков UMAP — 4.4910 с, а двух запусков после первого — 2.6799 с. В данном небольшом наборе t-SNE оказался быстрее. Первый запуск UMAP включает JIT-компиляцию Numba, поэтому результат нельзя обобщать на большие наборы и другие аппаратные среды.</w:t>
      </w:r>
    </w:p>
    <w:p>
      <w:pPr>
        <w:pStyle w:val="1"/>
      </w:pPr>
      <w:r>
        <w:t>10. Сравнение библиотек</w:t>
      </w:r>
    </w:p>
    <w:p>
      <w:pPr>
        <w:pStyle w:val="af5"/>
        <w:keepLines/>
      </w:pPr>
      <w:r>
        <w:t>Таблица 7. Сильные стороны и ограничения инструментов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Инструмент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Сильная сторона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Ограничение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Matplotlib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Точный контроль статического рисунка, подграфиков и публикационного экспорта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Интерактивность требует дополнительных средств; много ручных настроек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Plotly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Интерактивные подсказки, масштабирование и автономный HTML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graph_objects многословнее; статический экспорт зависит от браузерного движка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t-SNE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Хорошо подчёркивает локальные соседства и разделение кластеров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Чувствителен к перплексии; глобальные расстояния ненадёжны; нет штатного transform для новых объектов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UMAP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Управляет балансом локальной и глобальной структуры и допускает transform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Результат зависит от параметров; первый запуск несёт расходы JIT-компиляции</w:t>
            </w:r>
          </w:p>
        </w:tc>
      </w:tr>
    </w:tbl>
    <w:p>
      <w:pPr>
        <w:spacing w:after="0"/>
      </w:pPr>
    </w:p>
    <w:p>
      <w:pPr>
        <w:pStyle w:val="1"/>
      </w:pPr>
      <w:r>
        <w:t>11. Итоговые выводы</w:t>
      </w:r>
    </w:p>
    <w:p>
      <w:pPr>
        <w:pStyle w:val="a0"/>
      </w:pPr>
      <w:r>
        <w:t>Набор Bike Sharing содержит 731 полных дневных наблюдений за два года; пропуски и полные дубликаты отсутствуют.</w:t>
      </w:r>
    </w:p>
    <w:p>
      <w:pPr>
        <w:pStyle w:val="a0"/>
      </w:pPr>
      <w:r>
        <w:t>За период зарегистрировано 3 292 679 поездок; максимум месячного спроса достигнут в 2012-09.</w:t>
      </w:r>
    </w:p>
    <w:p>
      <w:pPr>
        <w:pStyle w:val="a0"/>
      </w:pPr>
      <w:r>
        <w:t>Спрос сезонен и во втором году заметно выше; общий месячный ряд теснее связан с зарегистрированной аудиторией.</w:t>
      </w:r>
    </w:p>
    <w:p>
      <w:pPr>
        <w:pStyle w:val="a0"/>
      </w:pPr>
      <w:r>
        <w:t>Plotly удобен для интерактивного исследования и точных подсказок, Matplotlib — для контролируемой статической композиции.</w:t>
      </w:r>
    </w:p>
    <w:p>
      <w:pPr>
        <w:pStyle w:val="a0"/>
      </w:pPr>
      <w:r>
        <w:t>t-SNE при perplexity=30 лучше всего сохранил локальные соседства среди проверенных настроек; малое значение сильнее дробит группы.</w:t>
      </w:r>
    </w:p>
    <w:p>
      <w:pPr>
        <w:pStyle w:val="a0"/>
      </w:pPr>
      <w:r>
        <w:t>UMAP при малых n_neighbors и min_dist создаёт компактные локальные кластеры; рост параметров делает проекцию более разреженной.</w:t>
      </w:r>
    </w:p>
    <w:p>
      <w:pPr>
        <w:pStyle w:val="a0"/>
      </w:pPr>
      <w:r>
        <w:t>На этом небольшом наборе t-SNE был быстрее UMAP; сравнение времени зависит от JIT-прогрева, объёма данных и окружения.</w:t>
      </w:r>
    </w:p>
    <w:p>
      <w:pPr>
        <w:pStyle w:val="a0"/>
      </w:pPr>
      <w:r>
        <w:t>Двумерные проекции являются инструментом исследования, а не доказательством истинных кластеров или точных межкластерных расстояний.</w:t>
      </w:r>
    </w:p>
    <w:p>
      <w:pPr>
        <w:pStyle w:val="1"/>
      </w:pPr>
      <w:r>
        <w:t>12. Ответы на контрольные вопросы</w:t>
      </w:r>
    </w:p>
    <w:p>
      <w:pPr/>
      <w:r>
        <w:t>Ниже приведены краткие ответы по объектной модели Matplotlib, возможностям Plotly и интерпретации методов снижения размерности.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1. Из каких основных объектов состоит график Matplotlib?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Figure — весь рисунок, Axes — отдельная область построения, Axis — координатная ось с масштабом, делениями и подписями. На одной Figure может быть несколько Axes.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2. Чем интерфейс pyplot отличается от объектного интерфейса Matplotlib?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pyplot управляет текущим рисунком и областью построения через последовательность команд. Объектный интерфейс изменяет конкретные объекты fig и ax, поэтому он удобнее для нескольких подграфиков и точной настройки.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3. Зачем явно вызывать figure() или subplots()?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Так задаются размер и структура рисунка и исключается неявное изменение ранее активного графика. subplots() сразу возвращает объекты рисунка и областей построения.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4. Для чего используется zorder?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Параметр определяет порядок наложения объектов. Элемент с большим zorder рисуется поверх элемента с меньшим значением.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5. В чём различие Plotly Express и graph_objects?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Plotly Express быстро строит готовый рисунок одной функцией и подходит для типовых задач. graph_objects даёт низкоуровневый контроль над следами, макетом, несколькими осями и сложными композициями.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6. Почему Plotly называют интерактивной библиотекой?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Рисунок поддерживает наведение, масштабирование, панорамирование, скрытие серий, выбор точек и экспорт. Его можно сохранить как HTML и использовать без запущенного Python.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7. Что показывает цветовая шкала в столбчатой диаграмме этой работы?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Цвет кодирует то же месячное количество поездок, что и высота столбца. Это избыточное, но наглядное кодирование помогает быстрее различать низкие и высокие значения.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8. Почему круговую диаграмму не следует перегружать категориями?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Человек неточно сравнивает близкие углы и площади, а подписи начинают пересекаться. Поэтому мелкие категории объединяют, либо заменяют диаграмму упорядоченными столбцами.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9. Как выбирать между Matplotlib и Plotly?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Matplotlib удобен для статических публикационных рисунков и полного контроля оформления. Plotly предпочтителен для интерактивного анализа, подсказок и веб-представления. Выбор зависит от способа использования результата.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10. Какую задачу решает снижение размерности?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Оно отображает объекты с большим числом признаков в пространстве меньшей размерности, стараясь сохранить выбранные отношения между объектами. Для визуализации обычно используют две координаты.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11. Что означает перплексия в t-SNE?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Это параметр масштаба локального соседства. Малое значение подчёркивает очень локальные группы и может дробить кластеры, большое учитывает более широкое окружение и может сглаживать мелкую структуру.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12. Почему результат t-SNE нужно воспроизводить с random_state?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Оптимизация начинается с инициализации и использует стохастические процедуры. Без фиксации генератора разные запуски могут дать различающиеся проекции.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13. Можно ли трактовать расстояния и размеры кластеров t-SNE буквально?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Нет. t-SNE прежде всего сохраняет локальные соседства. Расстояние между далёкими кластерами, их ориентация и видимая площадь не являются надёжными количественными характеристиками исходного пространства.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14. За что отвечают n_neighbors и min_dist в UMAP?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n_neighbors задаёт масштаб соседства: малое значение усиливает локальные детали, большое лучше отражает общую структуру. min_dist ограничивает плотность точек в проекции: малое значение делает кластеры компактнее.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15. Почему первое измерение времени UMAP может быть завышено?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Реализация использует Numba и при первом запуске компилирует часть функций. Поэтому корректно отдельно оговаривать «холодный» запуск и сравнивать повторные запуски в одном окружении.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16. Почему двумерная визуализация не доказывает существование истинных кластеров?</w:t>
      </w:r>
    </w:p>
    <w:p>
      <w:pPr>
        <w:spacing w:line="252" w:lineRule="auto" w:after="80"/>
      </w:pPr>
      <w:r>
        <w:rPr>
          <w:rFonts w:ascii="Times New Roman" w:hAnsi="Times New Roman" w:eastAsia="Times New Roman"/>
          <w:color w:val="000000"/>
          <w:sz w:val="24"/>
        </w:rPr>
        <w:t>Проекция неизбежно теряет информацию и может создавать визуально убедительные группы. Выводы проверяют устойчивостью к параметрам, несколькими метриками и предметной интерпретацией исходных признаков.</w:t>
      </w:r>
    </w:p>
    <w:sectPr w:rsidR="00D1514B" w:rsidRPr="009864B1" w:rsidSect="00034616">
      <w:headerReference w:type="default" r:id="rId16"/>
      <w:footerReference w:type="default" r:id="rId17"/>
      <w:pgSz w:w="11906" w:h="16838"/>
      <w:pgMar w:top="964" w:right="1020" w:bottom="907" w:left="1134" w:header="397" w:footer="397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user" w:date="2026-08-29T18:27:00Z" w:initials="u">
    <w:p w14:paraId="277860B0" w14:textId="50220E76" w:rsidR="0070522C" w:rsidRDefault="0070522C">
      <w:pPr>
        <w:pStyle w:val="affd"/>
      </w:pPr>
      <w:r>
        <w:rPr>
          <w:rStyle w:val="affc"/>
        </w:rPr>
        <w:annotationRef/>
      </w:r>
    </w:p>
  </w:comment>
  <w:comment w:id="0" w:author="user" w:date="2026-08-29T18:27:00Z" w:initials="u">
    <w:p w14:paraId="4591AC7E" w14:textId="00933FA2" w:rsidR="0070522C" w:rsidRDefault="0070522C">
      <w:pPr>
        <w:pStyle w:val="affd"/>
      </w:pPr>
      <w:r>
        <w:rPr>
          <w:rStyle w:val="aff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7860B0" w15:done="0"/>
  <w15:commentEx w15:paraId="4591AC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6390DCF" w16cex:dateUtc="2026-08-29T15:27:00Z"/>
  <w16cex:commentExtensible w16cex:durableId="10CD5C08" w16cex:dateUtc="2026-08-29T1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7860B0" w16cid:durableId="06390DCF"/>
  <w16cid:commentId w16cid:paraId="4591AC7E" w16cid:durableId="10CD5C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0BF61" w14:textId="77777777" w:rsidR="006F18B2" w:rsidRDefault="006F18B2" w:rsidP="00A6504D">
      <w:r>
        <w:separator/>
      </w:r>
    </w:p>
  </w:endnote>
  <w:endnote w:type="continuationSeparator" w:id="0">
    <w:p w14:paraId="7EA20363" w14:textId="77777777" w:rsidR="006F18B2" w:rsidRDefault="006F18B2" w:rsidP="00A6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3722" w14:textId="17AF527B" w:rsidR="00D1514B" w:rsidRDefault="00000000" w:rsidP="00A30011">
    <w:pPr>
      <w:pStyle w:val="a7"/>
      <w:jc w:val="righ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A6504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C336B" w14:textId="77777777" w:rsidR="006F18B2" w:rsidRDefault="006F18B2" w:rsidP="00A6504D">
      <w:r>
        <w:separator/>
      </w:r>
    </w:p>
  </w:footnote>
  <w:footnote w:type="continuationSeparator" w:id="0">
    <w:p w14:paraId="2A9824F0" w14:textId="77777777" w:rsidR="006F18B2" w:rsidRDefault="006F18B2" w:rsidP="00A6504D">
      <w:r>
        <w:continuationSeparator/>
      </w:r>
    </w:p>
  </w:footnote>
  <w:footnote w:id="1">
    <w:p w14:paraId="6FCC8ADD" w14:textId="351C795F" w:rsidR="0070522C" w:rsidRDefault="0070522C">
      <w:pPr>
        <w:pStyle w:val="afff1"/>
      </w:pPr>
      <w:r>
        <w:rPr>
          <w:rStyle w:val="afff3"/>
        </w:rPr>
        <w:footnoteRef/>
      </w:r>
      <w:r>
        <w:t xml:space="preserve"> </w:t>
      </w:r>
      <w:r w:rsidRPr="0070522C">
        <w:t>Метеорологические условия пожаров на территории России (2021–2022)</w:t>
      </w:r>
      <w:r>
        <w:t xml:space="preserve"> </w:t>
      </w:r>
      <w:hyperlink r:id="rId1" w:history="1">
        <w:r w:rsidRPr="00670013">
          <w:rPr>
            <w:rStyle w:val="afff4"/>
          </w:rPr>
          <w:t>https://data.rcsi.science/data-catalog/datasets/209/</w:t>
        </w:r>
      </w:hyperlink>
      <w:r>
        <w:t>, д</w:t>
      </w:r>
      <w:r w:rsidRPr="0070522C">
        <w:t>ата обновления: 24.04.2026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A3DE" w14:textId="77777777" w:rsidR="00D1514B" w:rsidRPr="00A30011" w:rsidRDefault="00000000" w:rsidP="00A6504D">
    <w:pPr>
      <w:pStyle w:val="a5"/>
      <w:jc w:val="left"/>
      <w:rPr>
        <w:sz w:val="22"/>
      </w:rPr>
    </w:pPr>
    <w:r>
      <w:rPr>
        <w:rFonts w:ascii="Times New Roman" w:hAnsi="Times New Roman" w:eastAsia="Times New Roman"/>
        <w:color w:val="000000"/>
        <w:sz w:val="16"/>
      </w:rPr>
      <w:t>Технологии и инструментарий анализа больших данных · Практическая работа №2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D7AEC"/>
    <w:multiLevelType w:val="hybridMultilevel"/>
    <w:tmpl w:val="968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67758">
    <w:abstractNumId w:val="8"/>
  </w:num>
  <w:num w:numId="2" w16cid:durableId="130446987">
    <w:abstractNumId w:val="6"/>
  </w:num>
  <w:num w:numId="3" w16cid:durableId="471947240">
    <w:abstractNumId w:val="5"/>
  </w:num>
  <w:num w:numId="4" w16cid:durableId="1142385543">
    <w:abstractNumId w:val="4"/>
  </w:num>
  <w:num w:numId="5" w16cid:durableId="2365494">
    <w:abstractNumId w:val="7"/>
  </w:num>
  <w:num w:numId="6" w16cid:durableId="1810899332">
    <w:abstractNumId w:val="3"/>
  </w:num>
  <w:num w:numId="7" w16cid:durableId="1118137155">
    <w:abstractNumId w:val="2"/>
  </w:num>
  <w:num w:numId="8" w16cid:durableId="103816501">
    <w:abstractNumId w:val="1"/>
  </w:num>
  <w:num w:numId="9" w16cid:durableId="1593931109">
    <w:abstractNumId w:val="0"/>
  </w:num>
  <w:num w:numId="10" w16cid:durableId="212376800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28"/>
    <w:rsid w:val="00126FBE"/>
    <w:rsid w:val="0015074B"/>
    <w:rsid w:val="0029639D"/>
    <w:rsid w:val="002A71D2"/>
    <w:rsid w:val="00326F90"/>
    <w:rsid w:val="0039652B"/>
    <w:rsid w:val="003A461C"/>
    <w:rsid w:val="0042541A"/>
    <w:rsid w:val="004330BD"/>
    <w:rsid w:val="0054390D"/>
    <w:rsid w:val="00616AF4"/>
    <w:rsid w:val="00665CFF"/>
    <w:rsid w:val="006C6160"/>
    <w:rsid w:val="006F18B2"/>
    <w:rsid w:val="0070522C"/>
    <w:rsid w:val="00732778"/>
    <w:rsid w:val="007B11FB"/>
    <w:rsid w:val="00872924"/>
    <w:rsid w:val="009864B1"/>
    <w:rsid w:val="0099717E"/>
    <w:rsid w:val="009A04FE"/>
    <w:rsid w:val="009A0CC1"/>
    <w:rsid w:val="009F1045"/>
    <w:rsid w:val="00A30011"/>
    <w:rsid w:val="00A6504D"/>
    <w:rsid w:val="00A76EA7"/>
    <w:rsid w:val="00AA1D8D"/>
    <w:rsid w:val="00AC55C4"/>
    <w:rsid w:val="00B3033A"/>
    <w:rsid w:val="00B32E62"/>
    <w:rsid w:val="00B47730"/>
    <w:rsid w:val="00B86463"/>
    <w:rsid w:val="00CB0664"/>
    <w:rsid w:val="00D1514B"/>
    <w:rsid w:val="00D165F2"/>
    <w:rsid w:val="00E366A6"/>
    <w:rsid w:val="00F30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59A47"/>
  <w14:defaultImageDpi w14:val="300"/>
  <w15:docId w15:val="{2363E3DF-3C0A-4C13-8638-A015F6D1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0011"/>
    <w:pPr>
      <w:spacing w:after="120" w:line="288" w:lineRule="auto"/>
      <w:jc w:val="both"/>
    </w:pPr>
    <w:rPr>
      <w:rFonts w:ascii="Times New Roman" w:hAnsi="Times New Roman"/>
      <w:b w:val="0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6504D"/>
    <w:pPr>
      <w:keepNext/>
      <w:keepLines/>
      <w:spacing w:before="240" w:after="240"/>
      <w:jc w:val="left"/>
      <w:outlineLvl w:val="0"/>
    </w:pPr>
    <w:rPr>
      <w:rFonts w:eastAsiaTheme="majorEastAsia" w:cstheme="majorBidi" w:ascii="Times New Roman" w:hAnsi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0011"/>
    <w:pPr>
      <w:keepNext/>
      <w:keepLines/>
      <w:spacing w:before="120" w:after="120"/>
      <w:jc w:val="left"/>
      <w:outlineLvl w:val="1"/>
    </w:pPr>
    <w:rPr>
      <w:rFonts w:eastAsiaTheme="majorEastAsia" w:cstheme="majorBidi" w:ascii="Times New Roman" w:hAnsi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8677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6504D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30011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6504D"/>
    <w:pPr>
      <w:spacing w:after="240"/>
      <w:contextualSpacing/>
      <w:jc w:val="center"/>
    </w:pPr>
    <w:rPr>
      <w:rFonts w:eastAsiaTheme="majorEastAsia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A6504D"/>
    <w:rPr>
      <w:rFonts w:ascii="Times New Roman" w:eastAsiaTheme="majorEastAsia" w:hAnsi="Times New Roman" w:cstheme="majorBidi"/>
      <w:b/>
      <w:spacing w:val="5"/>
      <w:kern w:val="28"/>
      <w:sz w:val="36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b w:val="0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A6504D"/>
    <w:pPr>
      <w:spacing w:line="240" w:lineRule="auto"/>
      <w:jc w:val="center"/>
    </w:pPr>
    <w:rPr>
      <w:rFonts w:ascii="Times New Roman" w:hAnsi="Times New Roman"/>
      <w:b/>
      <w:bCs/>
      <w:i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link w:val="CodeBlock0"/>
    <w:pPr>
      <w:spacing w:before="40" w:after="120" w:line="240" w:lineRule="auto"/>
      <w:ind w:left="142" w:right="113"/>
    </w:pPr>
    <w:rPr>
      <w:rFonts w:ascii="Liberation Mono" w:hAnsi="Liberation Mono"/>
      <w:sz w:val="16"/>
    </w:rPr>
  </w:style>
  <w:style w:type="paragraph" w:customStyle="1" w:styleId="OutputBlock">
    <w:name w:val="OutputBlock"/>
    <w:link w:val="OutputBlock0"/>
    <w:pPr>
      <w:spacing w:before="40" w:after="120" w:line="240" w:lineRule="auto"/>
      <w:ind w:left="142" w:right="113"/>
    </w:pPr>
    <w:rPr>
      <w:rFonts w:ascii="Liberation Mono" w:hAnsi="Liberation Mono"/>
      <w:sz w:val="17"/>
    </w:rPr>
  </w:style>
  <w:style w:type="paragraph" w:customStyle="1" w:styleId="aff8">
    <w:name w:val="Код"/>
    <w:basedOn w:val="CodeBlock"/>
    <w:link w:val="aff9"/>
    <w:qFormat/>
    <w:rsid w:val="00A76EA7"/>
    <w:pPr>
      <w:pBdr>
        <w:bottom w:val="single" w:sz="3" w:space="2" w:color="C5CED6"/>
      </w:pBdr>
      <w:shd w:val="clear" w:color="auto" w:fill="EEF2F5"/>
      <w:spacing w:before="120"/>
    </w:pPr>
    <w:rPr>
      <w:rFonts w:eastAsia="Liberation Mono"/>
      <w:sz w:val="24"/>
      <w:lang w:val="ru-RU"/>
    </w:rPr>
  </w:style>
  <w:style w:type="character" w:customStyle="1" w:styleId="CodeBlock0">
    <w:name w:val="CodeBlock Знак"/>
    <w:basedOn w:val="a2"/>
    <w:link w:val="CodeBlock"/>
    <w:rsid w:val="00A76EA7"/>
    <w:rPr>
      <w:rFonts w:ascii="Liberation Mono" w:hAnsi="Liberation Mono"/>
      <w:sz w:val="16"/>
    </w:rPr>
  </w:style>
  <w:style w:type="character" w:customStyle="1" w:styleId="aff9">
    <w:name w:val="Код Знак"/>
    <w:basedOn w:val="CodeBlock0"/>
    <w:link w:val="aff8"/>
    <w:rsid w:val="00A76EA7"/>
    <w:rPr>
      <w:rFonts w:ascii="Liberation Mono" w:eastAsia="Liberation Mono" w:hAnsi="Liberation Mono"/>
      <w:sz w:val="24"/>
      <w:shd w:val="clear" w:color="auto" w:fill="EEF2F5"/>
      <w:lang w:val="ru-RU"/>
    </w:rPr>
  </w:style>
  <w:style w:type="paragraph" w:customStyle="1" w:styleId="affa">
    <w:name w:val="Результат"/>
    <w:basedOn w:val="OutputBlock"/>
    <w:link w:val="affb"/>
    <w:qFormat/>
    <w:rsid w:val="00A76EA7"/>
    <w:pPr>
      <w:shd w:val="clear" w:color="auto" w:fill="F7F7F7"/>
      <w:spacing w:before="120"/>
    </w:pPr>
    <w:rPr>
      <w:rFonts w:eastAsia="Liberation Mono"/>
      <w:sz w:val="22"/>
      <w:lang w:val="ru-RU"/>
    </w:rPr>
  </w:style>
  <w:style w:type="character" w:customStyle="1" w:styleId="OutputBlock0">
    <w:name w:val="OutputBlock Знак"/>
    <w:basedOn w:val="a2"/>
    <w:link w:val="OutputBlock"/>
    <w:rsid w:val="00A76EA7"/>
    <w:rPr>
      <w:rFonts w:ascii="Liberation Mono" w:hAnsi="Liberation Mono"/>
      <w:sz w:val="17"/>
    </w:rPr>
  </w:style>
  <w:style w:type="character" w:customStyle="1" w:styleId="affb">
    <w:name w:val="Результат Знак"/>
    <w:basedOn w:val="OutputBlock0"/>
    <w:link w:val="affa"/>
    <w:rsid w:val="00A76EA7"/>
    <w:rPr>
      <w:rFonts w:ascii="Liberation Mono" w:eastAsia="Liberation Mono" w:hAnsi="Liberation Mono"/>
      <w:sz w:val="17"/>
      <w:shd w:val="clear" w:color="auto" w:fill="F7F7F7"/>
      <w:lang w:val="ru-RU"/>
    </w:rPr>
  </w:style>
  <w:style w:type="character" w:styleId="affc">
    <w:name w:val="annotation reference"/>
    <w:basedOn w:val="a2"/>
    <w:uiPriority w:val="99"/>
    <w:semiHidden/>
    <w:unhideWhenUsed/>
    <w:rsid w:val="0070522C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70522C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70522C"/>
    <w:rPr>
      <w:rFonts w:ascii="Times New Roman" w:hAnsi="Times New Roman"/>
      <w:b/>
      <w:bCs/>
      <w:sz w:val="20"/>
      <w:szCs w:val="20"/>
      <w:lang w:val="ru-RU"/>
    </w:rPr>
  </w:style>
  <w:style w:type="paragraph" w:styleId="afff1">
    <w:name w:val="footnote text"/>
    <w:basedOn w:val="a1"/>
    <w:link w:val="afff2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character" w:styleId="afff3">
    <w:name w:val="footnote reference"/>
    <w:basedOn w:val="a2"/>
    <w:uiPriority w:val="99"/>
    <w:semiHidden/>
    <w:unhideWhenUsed/>
    <w:rsid w:val="0070522C"/>
    <w:rPr>
      <w:vertAlign w:val="superscript"/>
    </w:rPr>
  </w:style>
  <w:style w:type="character" w:styleId="afff4">
    <w:name w:val="Hyperlink"/>
    <w:basedOn w:val="a2"/>
    <w:uiPriority w:val="99"/>
    <w:unhideWhenUsed/>
    <w:rsid w:val="0070522C"/>
    <w:rPr>
      <w:color w:val="0000FF" w:themeColor="hyperlink"/>
      <w:u w:val="single"/>
    </w:rPr>
  </w:style>
  <w:style w:type="character" w:styleId="afff5">
    <w:name w:val="Unresolved Mention"/>
    <w:basedOn w:val="a2"/>
    <w:uiPriority w:val="99"/>
    <w:semiHidden/>
    <w:unhideWhenUsed/>
    <w:rsid w:val="00705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ata.rcsi.science/data-catalog/datasets/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7425</Words>
  <Characters>42323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№1. Экспресс-введение в инструментарий анализа данных</vt:lpstr>
      <vt:lpstr/>
    </vt:vector>
  </TitlesOfParts>
  <Manager/>
  <Company/>
  <LinksUpToDate>false</LinksUpToDate>
  <CharactersWithSpaces>49649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№2. Визуализация данных в Python</dc:title>
  <dc:subject>Matplotlib, Plotly, t-SNE и UMAP</dc:subject>
  <dc:creator>user</dc:creator>
  <cp:keywords>Python, Pandas, NumPy, Matplotlib, EDA, FiresRu, CSV, Parquet</cp:keywords>
  <dc:description>generated by python-docx</dc:description>
  <cp:lastModifiedBy>user</cp:lastModifiedBy>
  <cp:revision>2</cp:revision>
  <dcterms:created xsi:type="dcterms:W3CDTF">2026-08-29T16:23:00Z</dcterms:created>
  <dcterms:modified xsi:type="dcterms:W3CDTF">2026-08-29T16:23:00Z</dcterms:modified>
  <cp:category/>
</cp:coreProperties>
</file>