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60"/>
      </w:tblGrid>
      <w:tr w:rsidR="002A2FAC" w:rsidRPr="00867FE9" w14:paraId="6B19BF8D" w14:textId="77777777" w:rsidTr="00FC2A5B">
        <w:trPr>
          <w:cantSplit/>
          <w:trHeight w:val="180"/>
        </w:trPr>
        <w:tc>
          <w:tcPr>
            <w:tcW w:w="5000" w:type="pct"/>
            <w:hideMark/>
          </w:tcPr>
          <w:p w14:paraId="7AA87AC2" w14:textId="77777777" w:rsidR="002A2FAC" w:rsidRPr="00867FE9" w:rsidRDefault="002A2FAC" w:rsidP="002A2FAC">
            <w:pPr>
              <w:keepNext w:val="0"/>
              <w:pageBreakBefore w:val="0"/>
              <w:widowControl w:val="0"/>
              <w:suppressAutoHyphens/>
              <w:spacing w:before="60"/>
              <w:ind w:left="0" w:firstLine="0"/>
              <w:jc w:val="center"/>
              <w:rPr>
                <w:rFonts w:eastAsia="Droid Sans Fallback"/>
                <w:iCs/>
                <w:caps/>
                <w:sz w:val="24"/>
                <w:lang w:eastAsia="zh-CN" w:bidi="hi-IN"/>
                <w14:ligatures w14:val="none"/>
              </w:rPr>
            </w:pPr>
            <w:r w:rsidRPr="00867FE9">
              <w:rPr>
                <w:rFonts w:ascii="Times New Roman" w:eastAsia="Times New Roman" w:hAnsi="Times New Roman" w:cs="Times New Roman"/>
                <w:iCs/>
                <w:noProof/>
                <w:color w:val="000000"/>
                <w:sz w:val="24"/>
                <w14:ligatures w14:val="none"/>
              </w:rPr>
              <w:drawing>
                <wp:inline distT="0" distB="0" distL="0" distR="0" wp14:anchorId="216ADF78" wp14:editId="011FA199">
                  <wp:extent cx="1066800" cy="1066800"/>
                  <wp:effectExtent l="0" t="0" r="0" b="0"/>
                  <wp:docPr id="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7A4E47" w14:textId="77777777" w:rsidR="002A2FAC" w:rsidRPr="00867FE9" w:rsidRDefault="002A2FAC" w:rsidP="002A2FAC">
            <w:pPr>
              <w:keepNext w:val="0"/>
              <w:pageBreakBefore w:val="0"/>
              <w:widowControl w:val="0"/>
              <w:suppressAutoHyphens/>
              <w:spacing w:before="60"/>
              <w:ind w:left="0" w:firstLine="0"/>
              <w:jc w:val="center"/>
              <w:rPr>
                <w:rFonts w:eastAsia="Droid Sans Fallback"/>
                <w:iCs/>
                <w:caps/>
                <w:sz w:val="24"/>
                <w:lang w:eastAsia="zh-CN" w:bidi="hi-IN"/>
                <w14:ligatures w14:val="none"/>
              </w:rPr>
            </w:pPr>
            <w:r w:rsidRPr="00867FE9">
              <w:rPr>
                <w:rFonts w:eastAsia="Times New Roman" w:ascii="Times New Roman" w:hAnsi="Times New Roman" w:cs="Times New Roman"/>
                <w:caps/>
                <w:color w:val="000000"/>
                <w:sz w:val="24"/>
                <w:lang w:eastAsia="zh-CN" w:bidi="hi-IN"/>
                <w14:ligatures w14:val="none"/>
              </w:rPr>
              <w:t>МИНОБРНАУКИ РОССИИ</w:t>
            </w:r>
          </w:p>
        </w:tc>
      </w:tr>
      <w:tr w:rsidR="002A2FAC" w:rsidRPr="00867FE9" w14:paraId="2DACB72A" w14:textId="77777777" w:rsidTr="00FC2A5B">
        <w:trPr>
          <w:cantSplit/>
          <w:trHeight w:val="1417"/>
        </w:trPr>
        <w:tc>
          <w:tcPr>
            <w:tcW w:w="5000" w:type="pct"/>
            <w:hideMark/>
          </w:tcPr>
          <w:p w14:paraId="55D6622F" w14:textId="77777777" w:rsidR="002A2FAC" w:rsidRPr="00867FE9" w:rsidRDefault="002A2FAC" w:rsidP="002A2FAC">
            <w:pPr>
              <w:keepNext w:val="0"/>
              <w:pageBreakBefore w:val="0"/>
              <w:widowControl w:val="0"/>
              <w:suppressAutoHyphens/>
              <w:spacing w:line="216" w:lineRule="auto"/>
              <w:ind w:left="0" w:firstLine="0"/>
              <w:jc w:val="center"/>
              <w:rPr>
                <w:rFonts w:ascii="Liberation Serif" w:eastAsia="Droid Sans Fallback" w:hAnsi="Liberation Serif" w:cs="FreeSans"/>
                <w:b/>
                <w:i/>
                <w:iCs/>
                <w:sz w:val="20"/>
                <w:lang w:eastAsia="zh-CN" w:bidi="hi-IN"/>
                <w14:ligatures w14:val="none"/>
              </w:rPr>
            </w:pPr>
            <w:r w:rsidRPr="00867FE9">
              <w:rPr>
                <w:rFonts w:ascii="Times New Roman" w:eastAsia="Times New Roman" w:hAnsi="Times New Roman" w:cs="Times New Roman"/>
                <w:color w:val="000000"/>
                <w:sz w:val="24"/>
                <w:lang w:eastAsia="zh-CN" w:bidi="hi-IN"/>
                <w14:ligatures w14:val="none"/>
              </w:rPr>
              <w:t>Федеральное государственное бюджетное образовательное учреждение</w:t>
            </w:r>
            <w:r w:rsidRPr="00867FE9">
              <w:rPr>
                <w:rFonts w:ascii="Times New Roman" w:eastAsia="Times New Roman" w:hAnsi="Times New Roman" w:cs="Times New Roman"/>
                <w:color w:val="000000"/>
                <w:sz w:val="24"/>
                <w:lang w:eastAsia="zh-CN" w:bidi="hi-IN"/>
                <w14:ligatures w14:val="none"/>
              </w:rPr>
              <w:br/>
              <w:t>высшего образования</w:t>
            </w:r>
            <w:r w:rsidRPr="00867FE9">
              <w:rPr>
                <w:rFonts w:ascii="Times New Roman" w:eastAsia="Times New Roman" w:hAnsi="Times New Roman" w:cs="Times New Roman"/>
                <w:color w:val="000000"/>
                <w:sz w:val="24"/>
                <w:lang w:eastAsia="zh-CN" w:bidi="hi-IN"/>
                <w14:ligatures w14:val="none"/>
              </w:rPr>
              <w:br/>
            </w:r>
            <w:r w:rsidRPr="00867FE9"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  <w:sz w:val="24"/>
                <w:lang w:eastAsia="zh-CN" w:bidi="hi-IN"/>
                <w14:ligatures w14:val="none"/>
              </w:rPr>
              <w:t xml:space="preserve">«МИРЭА </w:t>
            </w:r>
            <w:r w:rsidRPr="00867FE9"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  <w:sz w:val="24"/>
                <w:lang w:eastAsia="zh-CN" w:bidi="hi-IN"/>
                <w14:ligatures w14:val="none"/>
              </w:rPr>
              <w:sym w:font="Symbol" w:char="F02D"/>
            </w:r>
            <w:r w:rsidRPr="00867FE9"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  <w:sz w:val="24"/>
                <w:lang w:eastAsia="zh-CN" w:bidi="hi-IN"/>
                <w14:ligatures w14:val="none"/>
              </w:rPr>
              <w:t xml:space="preserve"> Российский технологический университет»</w:t>
            </w:r>
          </w:p>
          <w:p w14:paraId="1C817686" w14:textId="77777777" w:rsidR="002A2FAC" w:rsidRPr="00867FE9" w:rsidRDefault="002A2FAC" w:rsidP="002A2FAC">
            <w:pPr>
              <w:spacing w:after="140" w:line="259" w:lineRule="auto"/>
              <w:keepNext w:val="0"/>
              <w:pageBreakBefore w:val="0"/>
              <w:widowControl w:val="0"/>
              <w:suppressAutoHyphens/>
              <w:ind w:left="0" w:firstLine="0"/>
              <w:jc w:val="center"/>
              <w:rPr>
                <w:rFonts w:eastAsia="Droid Sans Fallback"/>
                <w:iCs/>
                <w:sz w:val="24"/>
                <w:lang w:eastAsia="zh-CN" w:bidi="hi-IN"/>
                <w14:ligatures w14:val="none"/>
              </w:rPr>
            </w:pPr>
            <w:r w:rsidRPr="00867FE9">
              <w:rPr>
                <w:rFonts w:eastAsia="Times New Roman" w:cs="Times New Roman" w:ascii="Times New Roman" w:hAnsi="Times New Roman"/>
                <w:b/>
                <w:snapToGrid w:val="0"/>
                <w:color w:val="000000"/>
                <w:sz w:val="32"/>
                <w:lang w:eastAsia="zh-CN" w:bidi="hi-IN"/>
                <w14:ligatures w14:val="none"/>
              </w:rPr>
              <w:t xml:space="preserve"> РТУ МИРЭА</w:t>
            </w:r>
            <w:r w:rsidRPr="00867FE9">
              <w:rPr>
                <w:rFonts w:eastAsia="Times New Roman" w:ascii="Times New Roman" w:hAnsi="Times New Roman" w:cs="Times New Roman"/>
                <w:b/>
                <w:color w:val="000000"/>
                <w:sz w:val="32"/>
                <w:lang w:eastAsia="zh-CN" w:bidi="hi-IN"/>
                <w14:ligatures w14:val="none"/>
              </w:rPr>
              <w:t xml:space="preserve"> </w:t>
            </w:r>
            <w:r w:rsidRPr="00867FE9">
              <w:rPr>
                <w:rFonts w:eastAsia="Times New Roman" w:ascii="Times New Roman" w:hAnsi="Times New Roman" w:cs="Times New Roman"/>
                <w:b/>
                <w:iCs/>
                <w:noProof/>
                <w:color w:val="000000"/>
                <w:sz w:val="32"/>
                <w14:ligatures w14:val="none"/>
              </w:rPr>
              <mc:AlternateContent>
                <mc:Choice Requires="wps">
                  <w:drawing>
                    <wp:inline distT="0" distB="0" distL="0" distR="0" wp14:anchorId="0BD73EE2" wp14:editId="5B940AFD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69D82686"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55FBA0D8" w14:textId="77777777" w:rsidR="002A2FAC" w:rsidRPr="00867FE9" w:rsidRDefault="002A2FAC" w:rsidP="002A2FAC">
      <w:pPr>
        <w:keepNext w:val="0"/>
        <w:pageBreakBefore w:val="0"/>
        <w:widowControl w:val="0"/>
        <w:suppressAutoHyphens/>
        <w:spacing w:line="240" w:lineRule="auto"/>
        <w:ind w:left="0" w:firstLine="0"/>
        <w:jc w:val="center"/>
        <w:rPr>
          <w:rFonts w:eastAsia="Droid Sans Fallback"/>
          <w:iCs/>
          <w:szCs w:val="28"/>
          <w:lang w:eastAsia="zh-CN" w:bidi="hi-IN"/>
          <w14:ligatures w14:val="none"/>
        </w:rPr>
      </w:pPr>
      <w:r w:rsidRPr="00867FE9">
        <w:rPr>
          <w:rFonts w:eastAsia="Times New Roman" w:ascii="Times New Roman" w:hAnsi="Times New Roman" w:cs="Times New Roman"/>
          <w:b/>
          <w:color w:val="000000"/>
          <w:sz w:val="28"/>
          <w:szCs w:val="28"/>
          <w:lang w:eastAsia="zh-CN" w:bidi="hi-IN"/>
          <w14:ligatures w14:val="none"/>
        </w:rPr>
        <w:t>Институт информационных технологий (ИИТ)</w:t>
      </w:r>
    </w:p>
    <w:p w14:paraId="31566F76" w14:textId="77777777" w:rsidR="002A2FAC" w:rsidRPr="00867FE9" w:rsidRDefault="002A2FAC" w:rsidP="002A2FAC">
      <w:pPr>
        <w:keepNext w:val="0"/>
        <w:pageBreakBefore w:val="0"/>
        <w:widowControl w:val="0"/>
        <w:suppressAutoHyphens/>
        <w:spacing w:line="240" w:lineRule="auto"/>
        <w:ind w:left="0" w:firstLine="0"/>
        <w:jc w:val="center"/>
        <w:rPr>
          <w:rFonts w:eastAsia="Droid Sans Fallback"/>
          <w:iCs/>
          <w:szCs w:val="28"/>
          <w:lang w:eastAsia="zh-CN" w:bidi="hi-IN"/>
          <w14:ligatures w14:val="none"/>
        </w:rPr>
      </w:pPr>
      <w:r w:rsidRPr="00867FE9">
        <w:rPr>
          <w:rFonts w:eastAsia="Times New Roman" w:ascii="Times New Roman" w:hAnsi="Times New Roman" w:cs="Times New Roman"/>
          <w:b/>
          <w:color w:val="000000"/>
          <w:sz w:val="28"/>
          <w:szCs w:val="28"/>
          <w:lang w:eastAsia="zh-CN" w:bidi="hi-IN"/>
          <w14:ligatures w14:val="none"/>
        </w:rPr>
        <w:t xml:space="preserve">Кафедра </w:t>
      </w:r>
      <w:r w:rsidRPr="00650B5D">
        <w:rPr>
          <w:rFonts w:eastAsia="Times New Roman" w:ascii="Times New Roman" w:hAnsi="Times New Roman" w:cs="Times New Roman"/>
          <w:b/>
          <w:color w:val="000000"/>
          <w:sz w:val="28"/>
          <w:szCs w:val="28"/>
          <w:lang w:eastAsia="zh-CN" w:bidi="hi-IN"/>
          <w14:ligatures w14:val="none"/>
        </w:rPr>
        <w:t>квантовых информационных технологий, практической и прикладной информатики</w:t>
      </w:r>
      <w:r w:rsidRPr="00867FE9">
        <w:rPr>
          <w:rFonts w:eastAsia="Times New Roman" w:ascii="Times New Roman" w:hAnsi="Times New Roman" w:cs="Times New Roman"/>
          <w:b/>
          <w:color w:val="000000"/>
          <w:sz w:val="28"/>
          <w:szCs w:val="28"/>
          <w:lang w:eastAsia="zh-CN" w:bidi="hi-IN"/>
          <w14:ligatures w14:val="none"/>
        </w:rPr>
        <w:t xml:space="preserve"> (</w:t>
      </w:r>
      <w:r>
        <w:rPr>
          <w:rFonts w:eastAsia="Times New Roman" w:ascii="Times New Roman" w:hAnsi="Times New Roman" w:cs="Times New Roman"/>
          <w:b/>
          <w:color w:val="000000"/>
          <w:sz w:val="28"/>
          <w:szCs w:val="28"/>
          <w:lang w:eastAsia="zh-CN" w:bidi="hi-IN"/>
          <w14:ligatures w14:val="none"/>
        </w:rPr>
        <w:t>ККИТПиПИ</w:t>
      </w:r>
      <w:r w:rsidRPr="00867FE9">
        <w:rPr>
          <w:rFonts w:eastAsia="Times New Roman" w:ascii="Times New Roman" w:hAnsi="Times New Roman" w:cs="Times New Roman"/>
          <w:b/>
          <w:color w:val="000000"/>
          <w:sz w:val="28"/>
          <w:szCs w:val="28"/>
          <w:lang w:eastAsia="zh-CN" w:bidi="hi-IN"/>
          <w14:ligatures w14:val="none"/>
        </w:rPr>
        <w:t>)</w:t>
      </w:r>
    </w:p>
    <w:p w14:paraId="5BFED868" w14:textId="77777777" w:rsidR="002A2FAC" w:rsidRPr="00867FE9" w:rsidRDefault="002A2FAC" w:rsidP="002A2FAC">
      <w:pPr>
        <w:keepNext w:val="0"/>
        <w:pageBreakBefore w:val="0"/>
        <w:widowControl w:val="0"/>
        <w:suppressAutoHyphens/>
        <w:spacing w:line="240" w:lineRule="auto"/>
        <w:ind w:left="0" w:firstLine="0"/>
        <w:jc w:val="center"/>
        <w:rPr>
          <w:rFonts w:eastAsia="Droid Sans Fallback"/>
          <w:b/>
          <w:iCs/>
          <w:sz w:val="24"/>
          <w:lang w:eastAsia="zh-CN" w:bidi="hi-IN"/>
          <w14:ligatures w14:val="none"/>
        </w:rPr>
      </w:pPr>
    </w:p>
    <w:p w14:paraId="5AC1061D" w14:textId="77777777" w:rsidR="002A2FAC" w:rsidRPr="00867FE9" w:rsidRDefault="002A2FAC" w:rsidP="002A2FAC">
      <w:pPr>
        <w:keepNext w:val="0"/>
        <w:pageBreakBefore w:val="0"/>
        <w:widowControl w:val="0"/>
        <w:suppressAutoHyphens/>
        <w:spacing w:line="240" w:lineRule="auto"/>
        <w:ind w:left="0" w:firstLine="0"/>
        <w:rPr>
          <w:rFonts w:eastAsia="Droid Sans Fallback"/>
          <w:b/>
          <w:iCs/>
          <w:sz w:val="24"/>
          <w:lang w:eastAsia="zh-CN" w:bidi="hi-IN"/>
          <w14:ligatures w14:val="none"/>
        </w:rPr>
      </w:pPr>
    </w:p>
    <w:p w14:paraId="3A147BCC" w14:textId="77777777" w:rsidR="002A2FAC" w:rsidRPr="00867FE9" w:rsidRDefault="002A2FAC" w:rsidP="002A2FAC">
      <w:pPr>
        <w:keepNext w:val="0"/>
        <w:pageBreakBefore w:val="0"/>
        <w:widowControl w:val="0"/>
        <w:suppressAutoHyphens/>
        <w:spacing w:line="240" w:lineRule="auto"/>
        <w:ind w:left="0" w:firstLine="0"/>
        <w:jc w:val="center"/>
        <w:rPr>
          <w:rFonts w:eastAsia="Droid Sans Fallback"/>
          <w:b/>
          <w:iCs/>
          <w:sz w:val="32"/>
          <w:lang w:eastAsia="zh-CN" w:bidi="hi-IN"/>
          <w14:ligatures w14:val="none"/>
        </w:rPr>
      </w:pPr>
      <w:r w:rsidRPr="00867FE9">
        <w:rPr>
          <w:rFonts w:eastAsia="Times New Roman" w:ascii="Times New Roman" w:hAnsi="Times New Roman" w:cs="Times New Roman"/>
          <w:b/>
          <w:color w:val="000000"/>
          <w:sz w:val="32"/>
          <w:lang w:eastAsia="zh-CN" w:bidi="hi-IN"/>
          <w14:ligatures w14:val="none"/>
        </w:rPr>
        <w:t>ОТЧЕТ ПО ПРАКТИЧЕСКИМ РАБОТАМ</w:t>
      </w:r>
    </w:p>
    <w:p w14:paraId="3EDE2537" w14:textId="77777777" w:rsidR="002A2FAC" w:rsidRPr="00867FE9" w:rsidRDefault="002A2FAC" w:rsidP="002A2FAC">
      <w:pPr>
        <w:keepNext w:val="0"/>
        <w:pageBreakBefore w:val="0"/>
        <w:widowControl w:val="0"/>
        <w:suppressAutoHyphens/>
        <w:spacing w:line="240" w:lineRule="auto"/>
        <w:ind w:left="0" w:firstLine="0"/>
        <w:jc w:val="center"/>
        <w:rPr>
          <w:rFonts w:eastAsia="Droid Sans Fallback"/>
          <w:b/>
          <w:iCs/>
          <w:szCs w:val="28"/>
          <w:lang w:eastAsia="zh-CN" w:bidi="hi-IN"/>
          <w14:ligatures w14:val="none"/>
        </w:rPr>
      </w:pPr>
      <w:r w:rsidRPr="00867FE9">
        <w:rPr>
          <w:rFonts w:eastAsia="Times New Roman" w:ascii="Times New Roman" w:hAnsi="Times New Roman" w:cs="Times New Roman"/>
          <w:color w:val="000000"/>
          <w:sz w:val="28"/>
          <w:szCs w:val="28"/>
          <w:lang w:eastAsia="zh-CN" w:bidi="hi-IN"/>
          <w14:ligatures w14:val="none"/>
        </w:rPr>
        <w:t>по дисциплине «</w:t>
      </w:r>
      <w:r w:rsidRPr="00650B5D">
        <w:rPr>
          <w:rFonts w:eastAsia="Times New Roman" w:ascii="Times New Roman" w:hAnsi="Times New Roman" w:cs="Times New Roman"/>
          <w:color w:val="000000"/>
          <w:sz w:val="28"/>
          <w:szCs w:val="28"/>
          <w:lang w:eastAsia="zh-CN" w:bidi="hi-IN"/>
          <w14:ligatures w14:val="none"/>
        </w:rPr>
        <w:t>Разработка обеспечивающих подсистем</w:t>
      </w:r>
      <w:r w:rsidRPr="00867FE9">
        <w:rPr>
          <w:rFonts w:eastAsia="Times New Roman" w:ascii="Times New Roman" w:hAnsi="Times New Roman" w:cs="Times New Roman"/>
          <w:color w:val="000000"/>
          <w:sz w:val="28"/>
          <w:szCs w:val="28"/>
          <w:lang w:eastAsia="zh-CN" w:bidi="hi-IN"/>
          <w14:ligatures w14:val="none"/>
        </w:rPr>
        <w:t>»</w:t>
      </w:r>
    </w:p>
    <w:p w14:paraId="6B467C3B" w14:textId="77777777" w:rsidR="002A2FAC" w:rsidRPr="00867FE9" w:rsidRDefault="002A2FAC" w:rsidP="002A2FAC">
      <w:pPr>
        <w:spacing w:after="140" w:line="259" w:lineRule="auto"/>
        <w:keepNext w:val="0"/>
        <w:pageBreakBefore w:val="0"/>
        <w:widowControl w:val="0"/>
        <w:suppressAutoHyphens/>
        <w:ind w:left="0" w:firstLine="0"/>
        <w:jc w:val="center"/>
        <w:rPr>
          <w:rFonts w:eastAsia="Droid Sans Fallback"/>
          <w:iCs/>
          <w:szCs w:val="28"/>
          <w:lang w:eastAsia="zh-CN" w:bidi="hi-IN"/>
          <w14:ligatures w14:val="none"/>
        </w:rPr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Практическое занятие № 1</w:t>
      </w:r>
    </w:p>
    <w:p w14:paraId="0A18C7B1" w14:textId="77777777" w:rsidR="002A2FAC" w:rsidRPr="00867FE9" w:rsidRDefault="002A2FAC" w:rsidP="002A2FAC">
      <w:pPr>
        <w:spacing w:after="140" w:line="259" w:lineRule="auto"/>
        <w:keepNext w:val="0"/>
        <w:pageBreakBefore w:val="0"/>
        <w:widowControl w:val="0"/>
        <w:suppressAutoHyphens/>
        <w:ind w:left="0" w:firstLine="0"/>
        <w:jc w:val="center"/>
        <w:rPr>
          <w:rFonts w:eastAsia="Droid Sans Fallback"/>
          <w:iCs/>
          <w:szCs w:val="28"/>
          <w:lang w:eastAsia="zh-CN" w:bidi="hi-IN"/>
          <w14:ligatures w14:val="none"/>
        </w:rPr>
      </w:pPr>
    </w:p>
    <w:p w14:paraId="73B18646" w14:textId="77777777" w:rsidR="002A2FAC" w:rsidRPr="00867FE9" w:rsidRDefault="002A2FAC" w:rsidP="002A2FAC">
      <w:pPr>
        <w:spacing w:after="140" w:line="259" w:lineRule="auto"/>
        <w:keepNext w:val="0"/>
        <w:pageBreakBefore w:val="0"/>
        <w:widowControl w:val="0"/>
        <w:suppressAutoHyphens/>
        <w:ind w:left="0" w:firstLine="0"/>
        <w:rPr>
          <w:rFonts w:eastAsia="Droid Sans Fallback"/>
          <w:iCs/>
          <w:szCs w:val="28"/>
          <w:lang w:eastAsia="zh-CN" w:bidi="hi-IN"/>
          <w14:ligatures w14:val="none"/>
        </w:rPr>
      </w:pPr>
    </w:p>
    <w:p w14:paraId="7C791560" w14:textId="77777777" w:rsidR="002A2FAC" w:rsidRPr="00867FE9" w:rsidRDefault="002A2FAC" w:rsidP="002A2FAC">
      <w:pPr>
        <w:spacing w:after="1080" w:line="259" w:lineRule="auto"/>
        <w:keepNext w:val="0"/>
        <w:pageBreakBefore w:val="0"/>
        <w:widowControl w:val="0"/>
        <w:suppressAutoHyphens/>
        <w:ind w:left="0" w:firstLine="0"/>
        <w:jc w:val="center"/>
        <w:rPr>
          <w:rFonts w:eastAsia="Droid Sans Fallback"/>
          <w:iCs/>
          <w:szCs w:val="28"/>
          <w:lang w:eastAsia="zh-CN" w:bidi="hi-IN"/>
          <w14:ligatures w14:val="none"/>
        </w:rPr>
      </w:pPr>
    </w:p>
    <w:tbl>
      <w:tblPr>
        <w:tblStyle w:val="2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2A2FAC" w:rsidRPr="00867FE9" w14:paraId="60B7E4D2" w14:textId="77777777" w:rsidTr="00FC2A5B">
        <w:trPr>
          <w:gridAfter w:val="1"/>
          <w:wAfter w:w="1106" w:type="dxa"/>
        </w:trPr>
        <w:tc>
          <w:tcPr>
            <w:tcW w:w="2547" w:type="dxa"/>
          </w:tcPr>
          <w:p w14:paraId="4C35FE15" w14:textId="77777777" w:rsidR="002A2FAC" w:rsidRPr="00867FE9" w:rsidRDefault="002A2FAC" w:rsidP="002A2FAC">
            <w:pPr>
              <w:keepNext w:val="0"/>
              <w:pageBreakBefore w:val="0"/>
              <w:widowControl w:val="0"/>
              <w:suppressAutoHyphens/>
              <w:spacing w:line="240" w:lineRule="auto"/>
              <w:ind w:left="0" w:firstLine="0"/>
              <w:jc w:val="left"/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</w:pPr>
            <w:r w:rsidRPr="00867F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hi-IN"/>
              </w:rPr>
              <w:t xml:space="preserve">Студент группы </w:t>
            </w:r>
            <w:r w:rsidRPr="00867F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hi-IN"/>
              </w:rPr>
            </w:r>
          </w:p>
          <w:p w14:paraId="4E614F5C" w14:textId="77777777" w:rsidR="002A2FAC" w:rsidRPr="00867FE9" w:rsidRDefault="002A2FAC" w:rsidP="002A2FAC">
            <w:pPr>
              <w:keepNext w:val="0"/>
              <w:pageBreakBefore w:val="0"/>
              <w:widowControl w:val="0"/>
              <w:suppressAutoHyphens/>
              <w:spacing w:line="240" w:lineRule="auto"/>
              <w:ind w:left="0" w:firstLine="0"/>
              <w:jc w:val="left"/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</w:pPr>
          </w:p>
        </w:tc>
        <w:tc>
          <w:tcPr>
            <w:tcW w:w="4819" w:type="dxa"/>
          </w:tcPr>
          <w:p w14:paraId="062E4D33" w14:textId="3700B88C" w:rsidR="002A2FAC" w:rsidRPr="003E7A65" w:rsidRDefault="002A2FAC" w:rsidP="002A2FAC">
            <w:pPr>
              <w:keepNext w:val="0"/>
              <w:pageBreakBefore w:val="0"/>
              <w:widowControl w:val="0"/>
              <w:suppressAutoHyphens/>
              <w:spacing w:line="240" w:lineRule="auto"/>
              <w:ind w:left="0" w:firstLine="0"/>
              <w:jc w:val="left"/>
              <w:rPr>
                <w:rFonts w:ascii="Liberation Serif" w:eastAsia="Droid Sans Fallback" w:hAnsi="Liberation Serif"/>
                <w:iCs/>
                <w:sz w:val="24"/>
                <w:szCs w:val="24"/>
                <w:lang w:eastAsia="zh-CN" w:bidi="hi-IN"/>
              </w:rPr>
            </w:pPr>
            <w:r w:rsidRPr="003E7A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hi-IN"/>
              </w:rPr>
              <w:t xml:space="preserve">ИНБО-12-23,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hi-IN"/>
              </w:rPr>
              <w:t>Албахтин И</w:t>
            </w:r>
            <w:r w:rsidRPr="003E7A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hi-IN"/>
              </w:rPr>
              <w:t>.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hi-IN"/>
              </w:rPr>
              <w:t>В.</w:t>
            </w:r>
          </w:p>
        </w:tc>
        <w:tc>
          <w:tcPr>
            <w:tcW w:w="1666" w:type="dxa"/>
            <w:gridSpan w:val="2"/>
          </w:tcPr>
          <w:p w14:paraId="395449A9" w14:textId="77777777" w:rsidR="002A2FAC" w:rsidRPr="00867FE9" w:rsidRDefault="002A2FAC" w:rsidP="002A2FAC">
            <w:pPr>
              <w:keepNext w:val="0"/>
              <w:pageBreakBefore w:val="0"/>
              <w:widowControl w:val="0"/>
              <w:pBdr>
                <w:bottom w:val="single" w:sz="12" w:space="1" w:color="auto"/>
              </w:pBdr>
              <w:suppressAutoHyphens/>
              <w:spacing w:line="240" w:lineRule="auto"/>
              <w:ind w:left="0" w:firstLine="0"/>
              <w:jc w:val="left"/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</w:pPr>
          </w:p>
          <w:p w14:paraId="719AB1B5" w14:textId="77777777" w:rsidR="002A2FAC" w:rsidRPr="00867FE9" w:rsidRDefault="002A2FAC" w:rsidP="002A2FAC">
            <w:pPr>
              <w:keepNext w:val="0"/>
              <w:pageBreakBefore w:val="0"/>
              <w:widowControl w:val="0"/>
              <w:suppressAutoHyphens/>
              <w:spacing w:line="240" w:lineRule="auto"/>
              <w:ind w:left="0" w:firstLine="0"/>
              <w:jc w:val="center"/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</w:pPr>
            <w:r w:rsidRPr="00867FE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zh-CN" w:bidi="hi-IN"/>
              </w:rPr>
              <w:t>(подпись)</w:t>
            </w:r>
          </w:p>
          <w:p w14:paraId="56A05A5F" w14:textId="77777777" w:rsidR="002A2FAC" w:rsidRPr="00867FE9" w:rsidRDefault="002A2FAC" w:rsidP="002A2FAC">
            <w:pPr>
              <w:keepNext w:val="0"/>
              <w:pageBreakBefore w:val="0"/>
              <w:widowControl w:val="0"/>
              <w:suppressAutoHyphens/>
              <w:spacing w:line="240" w:lineRule="auto"/>
              <w:ind w:left="0" w:firstLine="0"/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</w:pPr>
          </w:p>
        </w:tc>
      </w:tr>
      <w:tr w:rsidR="002A2FAC" w:rsidRPr="00867FE9" w14:paraId="2A721D48" w14:textId="77777777" w:rsidTr="00FC2A5B">
        <w:trPr>
          <w:gridAfter w:val="1"/>
          <w:wAfter w:w="1106" w:type="dxa"/>
        </w:trPr>
        <w:tc>
          <w:tcPr>
            <w:tcW w:w="2547" w:type="dxa"/>
          </w:tcPr>
          <w:p w14:paraId="09D2453A" w14:textId="77777777" w:rsidR="002A2FAC" w:rsidRPr="00867FE9" w:rsidRDefault="002A2FAC" w:rsidP="002A2FAC">
            <w:pPr>
              <w:keepNext w:val="0"/>
              <w:pageBreakBefore w:val="0"/>
              <w:widowControl w:val="0"/>
              <w:suppressAutoHyphens/>
              <w:spacing w:line="240" w:lineRule="auto"/>
              <w:ind w:left="0" w:firstLine="0"/>
              <w:jc w:val="left"/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</w:pPr>
            <w:r w:rsidRPr="00867F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hi-IN"/>
              </w:rPr>
              <w:t>Преподаватель</w:t>
            </w:r>
          </w:p>
          <w:p w14:paraId="62B67BFD" w14:textId="77777777" w:rsidR="002A2FAC" w:rsidRPr="00867FE9" w:rsidRDefault="002A2FAC" w:rsidP="002A2FAC">
            <w:pPr>
              <w:keepNext w:val="0"/>
              <w:pageBreakBefore w:val="0"/>
              <w:widowControl w:val="0"/>
              <w:suppressAutoHyphens/>
              <w:spacing w:line="240" w:lineRule="auto"/>
              <w:ind w:left="0" w:firstLine="0"/>
              <w:jc w:val="left"/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</w:pPr>
          </w:p>
        </w:tc>
        <w:tc>
          <w:tcPr>
            <w:tcW w:w="4819" w:type="dxa"/>
          </w:tcPr>
          <w:p w14:paraId="0DBF826A" w14:textId="77777777" w:rsidR="002A2FAC" w:rsidRPr="003E7A65" w:rsidRDefault="002A2FAC" w:rsidP="002A2FAC">
            <w:pPr>
              <w:keepNext w:val="0"/>
              <w:pageBreakBefore w:val="0"/>
              <w:widowControl w:val="0"/>
              <w:suppressAutoHyphens/>
              <w:spacing w:line="240" w:lineRule="auto"/>
              <w:ind w:left="0" w:firstLine="0"/>
              <w:jc w:val="left"/>
              <w:rPr>
                <w:rFonts w:ascii="Liberation Serif" w:eastAsia="Droid Sans Fallback" w:hAnsi="Liberation Serif"/>
                <w:iCs/>
                <w:sz w:val="24"/>
                <w:szCs w:val="24"/>
                <w:lang w:eastAsia="zh-CN" w:bidi="hi-IN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Кириллина Ю.В., Трушин С.М.</w:t>
            </w:r>
          </w:p>
          <w:p w14:paraId="06FAC666" w14:textId="77777777" w:rsidR="002A2FAC" w:rsidRPr="00867FE9" w:rsidRDefault="002A2FAC" w:rsidP="002A2FAC">
            <w:pPr>
              <w:keepNext w:val="0"/>
              <w:pageBreakBefore w:val="0"/>
              <w:widowControl w:val="0"/>
              <w:suppressAutoHyphens/>
              <w:spacing w:line="240" w:lineRule="auto"/>
              <w:ind w:left="0" w:firstLine="0"/>
              <w:jc w:val="left"/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</w:pPr>
          </w:p>
        </w:tc>
        <w:tc>
          <w:tcPr>
            <w:tcW w:w="1666" w:type="dxa"/>
            <w:gridSpan w:val="2"/>
          </w:tcPr>
          <w:p w14:paraId="5D99D8C5" w14:textId="77777777" w:rsidR="002A2FAC" w:rsidRPr="00867FE9" w:rsidRDefault="002A2FAC" w:rsidP="002A2FAC">
            <w:pPr>
              <w:keepNext w:val="0"/>
              <w:pageBreakBefore w:val="0"/>
              <w:widowControl w:val="0"/>
              <w:pBdr>
                <w:bottom w:val="single" w:sz="12" w:space="1" w:color="auto"/>
              </w:pBdr>
              <w:suppressAutoHyphens/>
              <w:spacing w:line="240" w:lineRule="auto"/>
              <w:ind w:left="0" w:firstLine="0"/>
              <w:jc w:val="left"/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</w:pPr>
          </w:p>
          <w:p w14:paraId="721DF3BA" w14:textId="77777777" w:rsidR="002A2FAC" w:rsidRPr="00867FE9" w:rsidRDefault="002A2FAC" w:rsidP="002A2FAC">
            <w:pPr>
              <w:keepNext w:val="0"/>
              <w:pageBreakBefore w:val="0"/>
              <w:widowControl w:val="0"/>
              <w:pBdr>
                <w:bottom w:val="single" w:sz="12" w:space="1" w:color="auto"/>
              </w:pBdr>
              <w:suppressAutoHyphens/>
              <w:spacing w:line="240" w:lineRule="auto"/>
              <w:ind w:left="0" w:firstLine="0"/>
              <w:jc w:val="left"/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</w:pPr>
          </w:p>
          <w:p w14:paraId="021C1192" w14:textId="77777777" w:rsidR="002A2FAC" w:rsidRPr="00867FE9" w:rsidRDefault="002A2FAC" w:rsidP="002A2FAC">
            <w:pPr>
              <w:keepNext w:val="0"/>
              <w:pageBreakBefore w:val="0"/>
              <w:widowControl w:val="0"/>
              <w:suppressAutoHyphens/>
              <w:spacing w:line="240" w:lineRule="auto"/>
              <w:ind w:left="0" w:firstLine="0"/>
              <w:jc w:val="center"/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</w:pPr>
            <w:r w:rsidRPr="00867FE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zh-CN" w:bidi="hi-IN"/>
              </w:rPr>
              <w:t>(подпись)</w:t>
            </w:r>
          </w:p>
          <w:p w14:paraId="09DAD034" w14:textId="77777777" w:rsidR="002A2FAC" w:rsidRPr="00867FE9" w:rsidRDefault="002A2FAC" w:rsidP="002A2FAC">
            <w:pPr>
              <w:keepNext w:val="0"/>
              <w:pageBreakBefore w:val="0"/>
              <w:widowControl w:val="0"/>
              <w:suppressAutoHyphens/>
              <w:spacing w:line="240" w:lineRule="auto"/>
              <w:ind w:left="0" w:firstLine="0"/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</w:pPr>
          </w:p>
        </w:tc>
      </w:tr>
      <w:tr w:rsidR="002A2FAC" w:rsidRPr="00867FE9" w14:paraId="4EE62744" w14:textId="77777777" w:rsidTr="00FC2A5B">
        <w:tc>
          <w:tcPr>
            <w:tcW w:w="2547" w:type="dxa"/>
          </w:tcPr>
          <w:p w14:paraId="76DA1B13" w14:textId="77777777" w:rsidR="002A2FAC" w:rsidRPr="00867FE9" w:rsidRDefault="002A2FAC" w:rsidP="002A2FAC">
            <w:pPr>
              <w:keepNext w:val="0"/>
              <w:pageBreakBefore w:val="0"/>
              <w:widowControl w:val="0"/>
              <w:suppressAutoHyphens/>
              <w:spacing w:line="240" w:lineRule="auto"/>
              <w:ind w:left="0" w:firstLine="0"/>
              <w:jc w:val="left"/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</w:pPr>
          </w:p>
        </w:tc>
        <w:tc>
          <w:tcPr>
            <w:tcW w:w="5925" w:type="dxa"/>
            <w:gridSpan w:val="2"/>
          </w:tcPr>
          <w:p w14:paraId="284DA73F" w14:textId="77777777" w:rsidR="002A2FAC" w:rsidRPr="00867FE9" w:rsidRDefault="002A2FAC" w:rsidP="002A2FAC">
            <w:pPr>
              <w:keepNext w:val="0"/>
              <w:pageBreakBefore w:val="0"/>
              <w:widowControl w:val="0"/>
              <w:suppressAutoHyphens/>
              <w:spacing w:line="240" w:lineRule="auto"/>
              <w:ind w:left="0" w:firstLine="0"/>
              <w:jc w:val="left"/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</w:pPr>
          </w:p>
        </w:tc>
        <w:tc>
          <w:tcPr>
            <w:tcW w:w="1666" w:type="dxa"/>
            <w:gridSpan w:val="2"/>
          </w:tcPr>
          <w:p w14:paraId="4615D701" w14:textId="77777777" w:rsidR="002A2FAC" w:rsidRPr="00867FE9" w:rsidRDefault="002A2FAC" w:rsidP="002A2FAC">
            <w:pPr>
              <w:keepNext w:val="0"/>
              <w:pageBreakBefore w:val="0"/>
              <w:widowControl w:val="0"/>
              <w:suppressAutoHyphens/>
              <w:spacing w:line="240" w:lineRule="auto"/>
              <w:ind w:left="0" w:firstLine="0"/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</w:pPr>
          </w:p>
        </w:tc>
      </w:tr>
    </w:tbl>
    <w:p w14:paraId="5802CB64" w14:textId="77777777" w:rsidR="002A2FAC" w:rsidRPr="00867FE9" w:rsidRDefault="002A2FAC" w:rsidP="002A2FAC">
      <w:pPr>
        <w:keepNext w:val="0"/>
        <w:pageBreakBefore w:val="0"/>
        <w:widowControl w:val="0"/>
        <w:suppressAutoHyphens/>
        <w:spacing w:line="240" w:lineRule="auto"/>
        <w:ind w:left="0" w:firstLine="0"/>
        <w:rPr>
          <w:rFonts w:ascii="Liberation Serif" w:eastAsia="Droid Sans Fallback" w:hAnsi="Liberation Serif"/>
          <w:iCs/>
          <w:sz w:val="24"/>
          <w:szCs w:val="28"/>
          <w:lang w:eastAsia="zh-CN" w:bidi="hi-IN"/>
          <w14:ligatures w14:val="none"/>
        </w:rPr>
      </w:pPr>
    </w:p>
    <w:p w14:paraId="7E4195EA" w14:textId="77777777" w:rsidR="002A2FAC" w:rsidRPr="00867FE9" w:rsidRDefault="002A2FAC" w:rsidP="002A2FAC">
      <w:pPr>
        <w:keepNext w:val="0"/>
        <w:pageBreakBefore w:val="0"/>
        <w:widowControl w:val="0"/>
        <w:suppressAutoHyphens/>
        <w:spacing w:line="240" w:lineRule="auto"/>
        <w:ind w:left="0" w:firstLine="0"/>
        <w:jc w:val="center"/>
        <w:rPr>
          <w:rFonts w:ascii="Liberation Serif" w:eastAsia="Droid Sans Fallback" w:hAnsi="Liberation Serif"/>
          <w:iCs/>
          <w:sz w:val="24"/>
          <w:szCs w:val="28"/>
          <w:lang w:eastAsia="zh-CN" w:bidi="hi-IN"/>
          <w14:ligatures w14:val="none"/>
        </w:rPr>
      </w:pPr>
    </w:p>
    <w:p w14:paraId="35212300" w14:textId="77777777" w:rsidR="002A2FAC" w:rsidRPr="00867FE9" w:rsidRDefault="002A2FAC" w:rsidP="002A2FAC">
      <w:pPr>
        <w:keepNext w:val="0"/>
        <w:pageBreakBefore w:val="0"/>
        <w:widowControl w:val="0"/>
        <w:suppressAutoHyphens/>
        <w:spacing w:line="240" w:lineRule="auto" w:after="1440"/>
        <w:ind w:left="0" w:firstLine="0"/>
        <w:jc w:val="center"/>
        <w:rPr>
          <w:rFonts w:ascii="Liberation Serif" w:eastAsia="Droid Sans Fallback" w:hAnsi="Liberation Serif"/>
          <w:iCs/>
          <w:sz w:val="24"/>
          <w:szCs w:val="28"/>
          <w:lang w:eastAsia="zh-CN" w:bidi="hi-IN"/>
          <w14:ligatures w14:val="none"/>
        </w:rPr>
      </w:pPr>
    </w:p>
    <w:p w14:paraId="3A4D719C" w14:textId="2CA860B9" w:rsidR="004651E5" w:rsidRPr="002A2FAC" w:rsidRDefault="002A2FAC" w:rsidP="002A2FAC">
      <w:pPr>
        <w:keepNext w:val="0"/>
        <w:pageBreakBefore w:val="0"/>
        <w:widowControl w:val="0"/>
        <w:suppressAutoHyphens/>
        <w:spacing w:line="240" w:lineRule="auto"/>
        <w:ind w:left="0" w:firstLine="0"/>
        <w:jc w:val="center"/>
        <w:rPr>
          <w:rFonts w:ascii="Liberation Serif" w:eastAsia="Droid Sans Fallback" w:hAnsi="Liberation Serif"/>
          <w:iCs/>
          <w:sz w:val="24"/>
          <w:szCs w:val="28"/>
          <w:lang w:eastAsia="zh-CN" w:bidi="hi-IN"/>
          <w14:ligatures w14:val="none"/>
        </w:rPr>
        <w:sectPr>
          <w:footerReference w:type="default" r:id="rId9"/>
          <w:headerReference w:type="default" r:id="rId22"/>
          <w:headerReference w:type="first" r:id="rId23"/>
          <w:footerReference w:type="first" r:id="rId24"/>
          <w:cols w:space="720"/>
          <w:docGrid w:linePitch="360"/>
          <w:type w:val="nextPage"/>
          <w:pgSz w:w="11906" w:h="16838" w:orient="portrait"/>
          <w:pgMar w:top="1134" w:bottom="1134" w:left="1701" w:right="850" w:header="709" w:footer="709" w:gutter="0"/>
          <w:titlePg/>
        </w:sectPr>
      </w:pPr>
      <w:r w:rsidRPr="00867FE9">
        <w:rPr>
          <w:rFonts w:ascii="Times New Roman" w:eastAsia="Times New Roman" w:hAnsi="Times New Roman" w:cs="Times New Roman"/>
          <w:color w:val="000000"/>
          <w:sz w:val="24"/>
          <w:szCs w:val="28"/>
          <w:lang w:eastAsia="zh-CN" w:bidi="hi-IN"/>
          <w14:ligatures w14:val="none"/>
        </w:rPr>
        <w:t>Москва 2026 г.</w:t>
      </w:r>
    </w:p>
    <w:p>
      <w:pPr>
        <w:keepNext/>
        <w:keepLines/>
        <w:pageBreakBefore w:val="0"/>
        <w:widowControl/>
        <w:spacing w:line="360" w:lineRule="auto" w:before="0" w:after="240"/>
        <w:ind w:left="0" w:right="0" w:firstLine="0"/>
        <w:jc w:val="center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Содержание</w:t>
      </w:r>
    </w:p>
    <w:p>
      <w:fldSimple w:instr=" TOC \o &quot;1-2&quot; \h \z \u "/>
    </w:p>
    <w:p>
      <w:pPr>
        <w:spacing w:before="0" w:after="0" w:line="20" w:lineRule="exact"/>
        <w:rPr>
          <w:sz w:val="2"/>
        </w:rPr>
        <w:sectPr>
          <w:footerReference w:type="default" r:id="rId9"/>
          <w:headerReference w:type="default" r:id="rId22"/>
          <w:headerReference w:type="first" r:id="rId23"/>
          <w:footerReference w:type="first" r:id="rId24"/>
          <w:cols w:space="720"/>
          <w:docGrid w:linePitch="360"/>
          <w:type w:val="nextPage"/>
          <w:pgSz w:w="11906" w:h="16838" w:orient="portrait"/>
          <w:pgMar w:top="1134" w:bottom="1134" w:left="1701" w:right="850" w:header="709" w:footer="709" w:gutter="0"/>
        </w:sectPr>
      </w:pPr>
    </w:p>
    <w:p>
      <w:pPr>
        <w:pStyle w:val="Heading1"/>
        <w:keepNext/>
        <w:keepLines/>
        <w:pageBreakBefore w:val="0"/>
        <w:widowControl/>
        <w:spacing w:line="360" w:lineRule="auto" w:before="240" w:after="120"/>
        <w:ind w:left="0" w:right="0" w:firstLine="0"/>
        <w:jc w:val="center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  <w:lang w:val="ru-RU"/>
        </w:rPr>
        <w:t>ПРАКТИЧЕСКОЕ ЗАНЯТИЕ № 1</w:t>
      </w:r>
    </w:p>
    <w:p>
      <w:pPr>
        <w:pStyle w:val="Heading1"/>
        <w:keepNext/>
        <w:keepLines/>
        <w:pageBreakBefore w:val="0"/>
        <w:widowControl/>
        <w:spacing w:line="360" w:lineRule="auto" w:before="240" w:after="120"/>
        <w:ind w:left="0" w:right="0" w:firstLine="0"/>
        <w:jc w:val="center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  <w:lang w:val="ru-RU"/>
        </w:rPr>
        <w:t>1 Цель занятия и постановка задачи</w:t>
      </w:r>
    </w:p>
    <w:p>
      <w:pPr>
        <w:pStyle w:val="Основнойтекстотчёта"/>
        <w:keepNext w:val="0"/>
        <w:keepLines w:val="0"/>
        <w:pageBreakBefore w:val="0"/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  <w:lang w:val="ru-RU"/>
        </w:rPr>
        <w:t>Цель занятия - проанализировать текущее состояние бизнес-процесса, выявить проблемы его исполнения и сформировать функциональные и нефункциональные требования к проектируемой информационной системе.</w:t>
      </w:r>
    </w:p>
    <w:p>
      <w:pPr>
        <w:pStyle w:val="Основнойтекстотчёта"/>
        <w:keepNext w:val="0"/>
        <w:keepLines w:val="0"/>
        <w:pageBreakBefore w:val="0"/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  <w:lang w:val="ru-RU"/>
        </w:rPr>
        <w:t>Тема проекта: «Проектирование информационной системы поддержки бизнес-процесса формирования и актуализации карточек товаров компьютерных систем на примере ООО «Юкомс»».</w:t>
      </w:r>
    </w:p>
    <w:p>
      <w:pPr>
        <w:pStyle w:val="Основнойтекстотчёта"/>
        <w:keepNext w:val="0"/>
        <w:keepLines w:val="0"/>
        <w:pageBreakBefore w:val="0"/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  <w:lang w:val="ru-RU"/>
        </w:rPr>
        <w:t>1. Построить модель текущего состояния процесса AS IS в нотациях IDEF0 и BPMN 2.0.</w:t>
      </w:r>
    </w:p>
    <w:p>
      <w:pPr>
        <w:pStyle w:val="Основнойтекстотчёта"/>
        <w:keepNext w:val="0"/>
        <w:keepLines w:val="0"/>
        <w:pageBreakBefore w:val="0"/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  <w:lang w:val="ru-RU"/>
        </w:rPr>
        <w:t>2. Сформировать таблицы функциональных и нефункциональных требований.</w:t>
      </w:r>
    </w:p>
    <w:p>
      <w:pPr>
        <w:pStyle w:val="Основнойтекстотчёта"/>
        <w:keepNext w:val="0"/>
        <w:keepLines w:val="0"/>
        <w:pageBreakBefore w:val="0"/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  <w:lang w:val="ru-RU"/>
        </w:rPr>
        <w:t>3. Выполнить сравнительный анализ программных аналогов и представить результаты в таблице и на диаграмме.</w:t>
      </w:r>
    </w:p>
    <w:p>
      <w:pPr>
        <w:pStyle w:val="Heading1"/>
        <w:keepNext/>
        <w:keepLines/>
        <w:pageBreakBefore w:val="0"/>
        <w:widowControl/>
        <w:spacing w:line="360" w:lineRule="auto" w:before="240" w:after="120"/>
        <w:ind w:left="0" w:right="0" w:firstLine="0"/>
        <w:jc w:val="center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  <w:lang w:val="ru-RU"/>
        </w:rPr>
        <w:t>2 Характеристика бизнес-процесса</w:t>
      </w:r>
    </w:p>
    <w:p>
      <w:pPr>
        <w:pStyle w:val="Основнойтекстотчёта"/>
        <w:keepNext w:val="0"/>
        <w:keepLines w:val="0"/>
        <w:pageBreakBefore w:val="0"/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  <w:lang w:val="ru-RU"/>
        </w:rPr>
        <w:t>Рассматриваемый процесс обеспечивает подготовку и актуализацию товарного предложения компьютерной системы. В академической модели AS IS предполагается, что сведения о корпусе, совместимости, поставщицких моделях, ценах, весе и изображениях обрабатываются в разрозненных инструментах. Менеджер маркетплейсов координирует процесс и вручную переносит итоговые значения в карточку Ozon.</w:t>
      </w:r>
    </w:p>
    <w:p>
      <w:pPr>
        <w:pStyle w:val="Основнойтекстотчёта"/>
        <w:keepNext w:val="0"/>
        <w:keepLines w:val="0"/>
        <w:pageBreakBefore w:val="0"/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  <w:lang w:val="ru-RU"/>
        </w:rPr>
        <w:t>Процесс начинается при появлении потребности создать новую карточку либо изменить существующую. Основной информационный объект - BOM, которая задаёт возможный состав компьютерной системы на базе корпуса. Процесс заканчивается публикацией или обновлением карточки либо фиксацией ошибки, требующей исправления.</w:t>
      </w:r>
    </w:p>
    <w:p>
      <w:pPr>
        <w:pStyle w:val="Основнойтекстотчёта"/>
        <w:keepNext w:val="0"/>
        <w:keepLines w:val="0"/>
        <w:pageBreakBefore w:val="0"/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  <w:lang w:val="ru-RU"/>
        </w:rPr>
        <w:t>Для согласованности с проектом ППОИС используются сущности: BOM, Карточка товара, Компонент, Характеристика, Правило совместимости, Товар поставщика, Предложение поставщика, Правило замены, Изображение и Публикация. Внешние интерфейсы представлены поставщиками PC4Games и ITPartner и API Ozon; статусы карточки: черновик, на проверке, готова к публикации, опубликована, требует актуализации и ошибка публикации.</w:t>
      </w:r>
    </w:p>
    <w:p>
      <w:pPr>
        <w:pStyle w:val="Подписьтаблицы"/>
        <w:keepNext/>
        <w:keepLines/>
        <w:pageBreakBefore w:val="0"/>
        <w:widowControl/>
        <w:spacing w:before="120" w:after="60" w:line="240" w:lineRule="auto"/>
        <w:ind w:left="0" w:right="0" w:firstLine="0"/>
        <w:jc w:val="left"/>
      </w:pPr>
      <w:r>
        <w:rPr>
          <w:rFonts w:ascii="Times New Roman" w:hAnsi="Times New Roman" w:eastAsia="Times New Roman" w:cs="Times New Roman"/>
          <w:b w:val="0"/>
          <w:i/>
          <w:color w:val="000000"/>
          <w:sz w:val="24"/>
        </w:rPr>
        <w:t>Таблица 1 – Границы процесса AS IS</w:t>
      </w:r>
    </w:p>
    <w:tbl>
      <w:tblPr>
        <w:jc w:val="center"/>
        <w:tblLayout w:type="fixed"/>
        <w:tblLook w:firstColumn="1" w:firstRow="1" w:lastColumn="0" w:lastRow="0" w:noHBand="0" w:noVBand="1" w:val="04A0"/>
        <w:tblW w:w="9354" w:type="dxa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</w:tblPr>
      <w:tblGrid>
        <w:gridCol w:w="1984"/>
        <w:gridCol w:w="7370"/>
      </w:tblGrid>
      <w:tr>
        <w:trPr>
          <w:cantSplit/>
          <w:tblHeader/>
        </w:trPr>
        <w:tc>
          <w:tcPr>
            <w:tcW w:type="dxa" w:w="198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pStyle w:val="Тексттаблицы"/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  <w:lang w:val="ru-RU"/>
              </w:rPr>
              <w:t>Элемент</w:t>
            </w:r>
          </w:p>
        </w:tc>
        <w:tc>
          <w:tcPr>
            <w:tcW w:type="dxa" w:w="737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pStyle w:val="Тексттаблицы"/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  <w:lang w:val="ru-RU"/>
              </w:rPr>
              <w:t>Описание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pStyle w:val="Тексттаблицы"/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lang w:val="ru-RU"/>
              </w:rPr>
              <w:t>Инициирующее событие</w:t>
            </w:r>
          </w:p>
        </w:tc>
        <w:tc>
          <w:tcPr>
            <w:tcW w:type="dxa" w:w="737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pStyle w:val="Тексттаблицы"/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lang w:val="ru-RU"/>
              </w:rPr>
              <w:t>Принято решение создать или изменить товарное предложение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pStyle w:val="Тексттаблицы"/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lang w:val="ru-RU"/>
              </w:rPr>
              <w:t>Завершающее событие</w:t>
            </w:r>
          </w:p>
        </w:tc>
        <w:tc>
          <w:tcPr>
            <w:tcW w:type="dxa" w:w="737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pStyle w:val="Тексттаблицы"/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lang w:val="ru-RU"/>
              </w:rPr>
              <w:t>Ozon принял карточку или зарегистрирована ошибка публикации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pStyle w:val="Тексттаблицы"/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lang w:val="ru-RU"/>
              </w:rPr>
              <w:t>Владелец процесса</w:t>
            </w:r>
          </w:p>
        </w:tc>
        <w:tc>
          <w:tcPr>
            <w:tcW w:type="dxa" w:w="737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pStyle w:val="Тексттаблицы"/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lang w:val="ru-RU"/>
              </w:rPr>
              <w:t>Менеджер маркетплейсов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pStyle w:val="Тексттаблицы"/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lang w:val="ru-RU"/>
              </w:rPr>
              <w:t>Исполнители</w:t>
            </w:r>
          </w:p>
        </w:tc>
        <w:tc>
          <w:tcPr>
            <w:tcW w:type="dxa" w:w="737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pStyle w:val="Тексттаблицы"/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lang w:val="ru-RU"/>
              </w:rPr>
              <w:t>Менеджер маркетплейсов, технический специалист, склад, дизайнер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pStyle w:val="Тексттаблицы"/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lang w:val="ru-RU"/>
              </w:rPr>
              <w:t>Поставщики данных</w:t>
            </w:r>
          </w:p>
        </w:tc>
        <w:tc>
          <w:tcPr>
            <w:tcW w:type="dxa" w:w="737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pStyle w:val="Тексттаблицы"/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lang w:val="ru-RU"/>
              </w:rPr>
              <w:t>PC4Games, ITPartner, внутренний складской учёт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pStyle w:val="Тексттаблицы"/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lang w:val="ru-RU"/>
              </w:rPr>
              <w:t>Потребитель результата</w:t>
            </w:r>
          </w:p>
        </w:tc>
        <w:tc>
          <w:tcPr>
            <w:tcW w:type="dxa" w:w="737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pStyle w:val="Тексттаблицы"/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lang w:val="ru-RU"/>
              </w:rPr>
              <w:t>Ozon и потенциальный покупатель товарного предложения</w:t>
            </w:r>
          </w:p>
        </w:tc>
      </w:tr>
    </w:tbl>
    <w:p>
      <w:pPr>
        <w:pStyle w:val="Heading1"/>
        <w:keepNext/>
        <w:keepLines/>
        <w:pageBreakBefore w:val="0"/>
        <w:widowControl/>
        <w:spacing w:line="360" w:lineRule="auto" w:before="240" w:after="120"/>
        <w:ind w:left="0" w:right="0" w:firstLine="0"/>
        <w:jc w:val="center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  <w:lang w:val="ru-RU"/>
        </w:rPr>
        <w:t>3 Модель AS IS в нотации IDEF0</w:t>
      </w:r>
    </w:p>
    <w:p>
      <w:pPr>
        <w:pStyle w:val="Heading2"/>
        <w:keepNext/>
        <w:keepLines/>
        <w:pageBreakBefore w:val="0"/>
        <w:widowControl/>
        <w:spacing w:line="360" w:lineRule="auto" w:before="240" w:after="120"/>
        <w:ind w:left="0" w:right="0"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  <w:lang w:val="ru-RU"/>
        </w:rPr>
        <w:t>3.1 Контекстная диаграмма A-0</w:t>
      </w:r>
    </w:p>
    <w:p>
      <w:pPr>
        <w:pStyle w:val="Основнойтекстотчёта"/>
        <w:keepNext w:val="0"/>
        <w:keepLines w:val="0"/>
        <w:pageBreakBefore w:val="0"/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  <w:lang w:val="ru-RU"/>
        </w:rPr>
        <w:t>Контекстная диаграмма показывает преобразование запроса и исходных данных в согласованную BOM, рассчитанные показатели, изображения и результат публикации карточки. Управления задают порядок работы, правила выбора, совместимости и расчётов, требования Ozon. Механизмы включают участников и используемые инструменты.</w:t>
      </w:r>
    </w:p>
    <w:p>
      <w:pPr>
        <w:keepNext/>
        <w:keepLines/>
        <w:pageBreakBefore w:val="0"/>
        <w:widowControl/>
        <w:spacing w:before="120" w:after="0" w:line="240" w:lineRule="auto"/>
        <w:ind w:left="0" w:right="0" w:firstLine="0"/>
        <w:jc w:val="center"/>
      </w:pPr>
      <w:r>
        <w:rPr>
          <w:rFonts w:ascii="Times New Roman" w:hAnsi="Times New Roman" w:eastAsia="Times New Roman" w:cs="Times New Roman"/>
          <w:color w:val="000000"/>
          <w:sz w:val="28"/>
        </w:rPr>
        <w:drawing>
          <wp:inline xmlns:a="http://schemas.openxmlformats.org/drawingml/2006/main" xmlns:pic="http://schemas.openxmlformats.org/drawingml/2006/picture">
            <wp:extent cx="5760000" cy="4350287"/>
            <wp:docPr id="3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-0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3502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Подписьрисунка"/>
        <w:keepNext w:val="0"/>
        <w:keepLines/>
        <w:pageBreakBefore w:val="0"/>
        <w:widowControl/>
        <w:spacing w:before="60" w:after="120" w:line="240" w:lineRule="auto"/>
        <w:ind w:left="0" w:right="0"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Рисунок 1 – Контекстная диаграмма IDEF0 A-0</w:t>
      </w:r>
    </w:p>
    <w:p>
      <w:pPr>
        <w:pStyle w:val="Heading2"/>
        <w:keepNext/>
        <w:keepLines/>
        <w:pageBreakBefore w:val="0"/>
        <w:widowControl/>
        <w:spacing w:line="360" w:lineRule="auto" w:before="240" w:after="120"/>
        <w:ind w:left="0" w:right="0"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  <w:lang w:val="ru-RU"/>
        </w:rPr>
        <w:t>3.2 Декомпозиция A0</w:t>
      </w:r>
    </w:p>
    <w:p>
      <w:pPr>
        <w:pStyle w:val="Основнойтекстотчёта"/>
        <w:keepNext w:val="0"/>
        <w:keepLines w:val="0"/>
        <w:pageBreakBefore w:val="0"/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  <w:lang w:val="ru-RU"/>
        </w:rPr>
        <w:t>На уровне A0 выделены пять функций. Их внешние интерфейсы согласованы с контекстом A-0 по кодам ICOM. Замечания по совместимости возвращаются из A3 в A2 для исправления конфигурации. Результат A5 — опубликованная или обновлённая карточка либо сведения об ошибке публикации. Модель AS IS выполнена в OmniNotation.</w:t>
      </w:r>
    </w:p>
    <w:p>
      <w:pPr>
        <w:keepNext w:val="0"/>
        <w:keepLines w:val="0"/>
        <w:pageBreakBefore w:val="0"/>
        <w:widowControl/>
        <w:spacing w:line="20" w:lineRule="exact" w:before="0" w:after="0"/>
        <w:ind w:left="0" w:right="0" w:firstLine="0"/>
        <w:jc w:val="left"/>
        <w:sectPr>
          <w:footerReference w:type="default" r:id="rId9"/>
          <w:headerReference w:type="default" r:id="rId22"/>
          <w:headerReference w:type="first" r:id="rId23"/>
          <w:cols w:space="720"/>
          <w:docGrid w:linePitch="360"/>
          <w:type w:val="nextPage"/>
          <w:pgSz w:w="11906" w:h="16838" w:orient="portrait"/>
          <w:pgMar w:top="1134" w:bottom="1134" w:left="1701" w:right="850" w:header="709" w:footer="709" w:gutter="0"/>
        </w:sectPr>
      </w:pPr>
    </w:p>
    <w:p>
      <w:pPr>
        <w:keepNext/>
        <w:keepLines/>
        <w:pageBreakBefore w:val="0"/>
        <w:widowControl/>
        <w:spacing w:before="120" w:after="0" w:line="240" w:lineRule="auto"/>
        <w:ind w:left="0" w:right="0" w:firstLine="0"/>
        <w:jc w:val="center"/>
      </w:pPr>
      <w:r>
        <w:rPr>
          <w:rFonts w:ascii="Times New Roman" w:hAnsi="Times New Roman" w:eastAsia="Times New Roman" w:cs="Times New Roman"/>
          <w:color w:val="000000"/>
          <w:sz w:val="28"/>
        </w:rPr>
        <w:drawing>
          <wp:inline xmlns:a="http://schemas.openxmlformats.org/drawingml/2006/main" xmlns:pic="http://schemas.openxmlformats.org/drawingml/2006/picture">
            <wp:extent cx="8856000" cy="5448785"/>
            <wp:docPr id="4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0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8856000" cy="54487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Подписьрисунка"/>
        <w:keepNext w:val="0"/>
        <w:keepLines/>
        <w:pageBreakBefore w:val="0"/>
        <w:widowControl/>
        <w:spacing w:before="60" w:after="120" w:line="240" w:lineRule="auto"/>
        <w:ind w:left="0" w:right="0"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Рисунок 2 – Декомпозиция процесса IDEF0 A0</w:t>
      </w:r>
    </w:p>
    <w:p>
      <w:pPr>
        <w:keepNext w:val="0"/>
        <w:keepLines w:val="0"/>
        <w:pageBreakBefore w:val="0"/>
        <w:widowControl/>
        <w:spacing w:line="20" w:lineRule="exact" w:before="0" w:after="0"/>
        <w:ind w:left="0" w:right="0" w:firstLine="0"/>
        <w:jc w:val="left"/>
        <w:sectPr>
          <w:footerReference w:type="default" r:id="rId9"/>
          <w:headerReference w:type="default" r:id="rId22"/>
          <w:headerReference w:type="first" r:id="rId23"/>
          <w:cols w:space="720"/>
          <w:docGrid w:linePitch="360"/>
          <w:type w:val="nextPage"/>
          <w:pgSz w:w="16838" w:h="11906" w:orient="landscape"/>
          <w:pgMar w:top="1134" w:bottom="1134" w:left="1701" w:right="850" w:header="709" w:footer="709" w:gutter="0"/>
        </w:sectPr>
      </w:pPr>
    </w:p>
    <w:p>
      <w:pPr>
        <w:pStyle w:val="Подписьтаблицы"/>
        <w:keepNext/>
        <w:keepLines/>
        <w:pageBreakBefore w:val="0"/>
        <w:widowControl/>
        <w:spacing w:before="120" w:after="60" w:line="240" w:lineRule="auto"/>
        <w:ind w:left="0" w:right="0" w:firstLine="0"/>
        <w:jc w:val="left"/>
      </w:pPr>
      <w:r>
        <w:rPr>
          <w:rFonts w:ascii="Times New Roman" w:hAnsi="Times New Roman" w:eastAsia="Times New Roman" w:cs="Times New Roman"/>
          <w:b w:val="0"/>
          <w:i/>
          <w:color w:val="000000"/>
          <w:sz w:val="24"/>
        </w:rPr>
        <w:t>Таблица 2 – Описание функций IDEF0</w:t>
      </w:r>
    </w:p>
    <w:tbl>
      <w:tblPr>
        <w:jc w:val="center"/>
        <w:tblLayout w:type="fixed"/>
        <w:tblLook w:firstColumn="1" w:firstRow="1" w:lastColumn="0" w:lastRow="0" w:noHBand="0" w:noVBand="1" w:val="04A0"/>
        <w:tblW w:w="9354" w:type="dxa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</w:tblPr>
      <w:tblGrid>
        <w:gridCol w:w="1984"/>
        <w:gridCol w:w="3685"/>
        <w:gridCol w:w="3685"/>
      </w:tblGrid>
      <w:tr>
        <w:trPr>
          <w:cantSplit/>
          <w:tblHeader/>
        </w:trPr>
        <w:tc>
          <w:tcPr>
            <w:tcW w:type="dxa" w:w="198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pStyle w:val="Тексттаблицы"/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  <w:lang w:val="ru-RU"/>
              </w:rPr>
              <w:t>Функция</w:t>
            </w:r>
          </w:p>
        </w:tc>
        <w:tc>
          <w:tcPr>
            <w:tcW w:type="dxa" w:w="3685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pStyle w:val="Тексттаблицы"/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  <w:lang w:val="ru-RU"/>
              </w:rPr>
              <w:t>Содержание</w:t>
            </w:r>
          </w:p>
        </w:tc>
        <w:tc>
          <w:tcPr>
            <w:tcW w:type="dxa" w:w="3685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pStyle w:val="Тексттаблицы"/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  <w:lang w:val="ru-RU"/>
              </w:rPr>
              <w:t>Результат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pStyle w:val="Тексттаблицы"/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lang w:val="ru-RU"/>
              </w:rPr>
              <w:t>A1</w:t>
            </w:r>
          </w:p>
        </w:tc>
        <w:tc>
          <w:tcPr>
            <w:tcW w:type="dxa" w:w="3685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pStyle w:val="Тексттаблицы"/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lang w:val="ru-RU"/>
              </w:rPr>
              <w:t>Регистрация потребности в новой карточке или изменении</w:t>
            </w:r>
          </w:p>
        </w:tc>
        <w:tc>
          <w:tcPr>
            <w:tcW w:type="dxa" w:w="3685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pStyle w:val="Тексттаблицы"/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lang w:val="ru-RU"/>
              </w:rPr>
              <w:t>Запрос и выбранный корпус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pStyle w:val="Тексттаблицы"/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lang w:val="ru-RU"/>
              </w:rPr>
              <w:t>A2</w:t>
            </w:r>
          </w:p>
        </w:tc>
        <w:tc>
          <w:tcPr>
            <w:tcW w:type="dxa" w:w="3685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pStyle w:val="Тексттаблицы"/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lang w:val="ru-RU"/>
              </w:rPr>
              <w:t>Создание состава BOM и ручное сопоставление позиций</w:t>
            </w:r>
          </w:p>
        </w:tc>
        <w:tc>
          <w:tcPr>
            <w:tcW w:type="dxa" w:w="3685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pStyle w:val="Тексттаблицы"/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lang w:val="ru-RU"/>
              </w:rPr>
              <w:t>Проект конфигурации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pStyle w:val="Тексттаблицы"/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lang w:val="ru-RU"/>
              </w:rPr>
              <w:t>A3</w:t>
            </w:r>
          </w:p>
        </w:tc>
        <w:tc>
          <w:tcPr>
            <w:tcW w:type="dxa" w:w="3685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pStyle w:val="Тексттаблицы"/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lang w:val="ru-RU"/>
              </w:rPr>
              <w:t>Проверка ограничений корпуса и компонентов специалистом</w:t>
            </w:r>
          </w:p>
        </w:tc>
        <w:tc>
          <w:tcPr>
            <w:tcW w:type="dxa" w:w="3685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pStyle w:val="Тексттаблицы"/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lang w:val="ru-RU"/>
              </w:rPr>
              <w:t>Согласованная BOM или замечания для исправления конфигурации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pStyle w:val="Тексттаблицы"/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lang w:val="ru-RU"/>
              </w:rPr>
              <w:t>A4</w:t>
            </w:r>
          </w:p>
        </w:tc>
        <w:tc>
          <w:tcPr>
            <w:tcW w:type="dxa" w:w="3685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pStyle w:val="Тексттаблицы"/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lang w:val="ru-RU"/>
              </w:rPr>
              <w:t>Сбор цен, расчёт цены и веса, подготовка изображений</w:t>
            </w:r>
          </w:p>
        </w:tc>
        <w:tc>
          <w:tcPr>
            <w:tcW w:type="dxa" w:w="3685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pStyle w:val="Тексттаблицы"/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lang w:val="ru-RU"/>
              </w:rPr>
              <w:t>Данные для карточки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pStyle w:val="Тексттаблицы"/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lang w:val="ru-RU"/>
              </w:rPr>
              <w:t>A5</w:t>
            </w:r>
          </w:p>
        </w:tc>
        <w:tc>
          <w:tcPr>
            <w:tcW w:type="dxa" w:w="3685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pStyle w:val="Тексттаблицы"/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lang w:val="ru-RU"/>
              </w:rPr>
              <w:t>Перенос данных, проверка и публикация в Ozon</w:t>
            </w:r>
          </w:p>
        </w:tc>
        <w:tc>
          <w:tcPr>
            <w:tcW w:type="dxa" w:w="3685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pStyle w:val="Тексттаблицы"/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lang w:val="ru-RU"/>
              </w:rPr>
              <w:t>Опубликованная карточка или ошибка</w:t>
            </w:r>
          </w:p>
        </w:tc>
      </w:tr>
    </w:tbl>
    <w:p>
      <w:pPr>
        <w:pStyle w:val="Heading1"/>
        <w:keepNext/>
        <w:keepLines/>
        <w:pageBreakBefore w:val="0"/>
        <w:widowControl/>
        <w:spacing w:line="360" w:lineRule="auto" w:before="240" w:after="120"/>
        <w:ind w:left="0" w:right="0" w:firstLine="0"/>
        <w:jc w:val="center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  <w:lang w:val="ru-RU"/>
        </w:rPr>
        <w:t>4 Модель AS IS в нотации BPMN 2.0</w:t>
      </w:r>
    </w:p>
    <w:p>
      <w:pPr>
        <w:pStyle w:val="Основнойтекстотчёта"/>
        <w:keepNext w:val="0"/>
        <w:keepLines w:val="0"/>
        <w:pageBreakBefore w:val="0"/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  <w:lang w:val="ru-RU"/>
        </w:rPr>
        <w:t>BPMN-модель распределяет действия между менеджером маркетплейсов, техническим специалистом, складом и поставщиками, дизайнером и Ozon. Шлюзы отражают проверку совместимости и результат проверки карточки площадкой.</w:t>
      </w:r>
    </w:p>
    <w:p>
      <w:pPr>
        <w:keepNext w:val="0"/>
        <w:keepLines w:val="0"/>
        <w:pageBreakBefore w:val="0"/>
        <w:widowControl/>
        <w:spacing w:line="20" w:lineRule="exact" w:before="0" w:after="0"/>
        <w:ind w:left="0" w:right="0" w:firstLine="0"/>
        <w:jc w:val="left"/>
        <w:sectPr>
          <w:footerReference w:type="default" r:id="rId9"/>
          <w:headerReference w:type="default" r:id="rId22"/>
          <w:headerReference w:type="first" r:id="rId23"/>
          <w:cols w:space="720"/>
          <w:docGrid w:linePitch="360"/>
          <w:type w:val="nextPage"/>
          <w:pgSz w:w="11906" w:h="16838" w:orient="portrait"/>
          <w:pgMar w:top="1134" w:bottom="1134" w:left="1701" w:right="850" w:header="709" w:footer="709" w:gutter="0"/>
        </w:sectPr>
      </w:pPr>
    </w:p>
    <w:p>
      <w:pPr>
        <w:keepNext/>
        <w:keepLines/>
        <w:pageBreakBefore w:val="0"/>
        <w:widowControl/>
        <w:spacing w:line="240" w:lineRule="auto" w:before="120" w:after="0"/>
        <w:ind w:left="0" w:right="0" w:firstLine="0"/>
        <w:jc w:val="center"/>
      </w:pPr>
      <w:r>
        <w:rPr>
          <w:rFonts w:ascii="Times New Roman" w:hAnsi="Times New Roman" w:eastAsia="Times New Roman" w:cs="Times New Roman"/>
          <w:color w:val="000000"/>
          <w:sz w:val="28"/>
        </w:rPr>
        <w:drawing>
          <wp:inline xmlns:a="http://schemas.openxmlformats.org/drawingml/2006/main" xmlns:pic="http://schemas.openxmlformats.org/drawingml/2006/picture">
            <wp:extent cx="9072000" cy="4536000"/>
            <wp:docPr id="5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pmn_as_i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072000" cy="453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Подписьрисунка"/>
        <w:keepNext w:val="0"/>
        <w:keepLines/>
        <w:pageBreakBefore w:val="0"/>
        <w:widowControl/>
        <w:spacing w:before="60" w:after="120" w:line="240" w:lineRule="auto"/>
        <w:ind w:left="0" w:right="0"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Рисунок 3 – Модель текущего процесса в нотации BPMN 2.0</w:t>
      </w:r>
    </w:p>
    <w:p>
      <w:pPr>
        <w:keepNext w:val="0"/>
        <w:keepLines w:val="0"/>
        <w:pageBreakBefore w:val="0"/>
        <w:widowControl/>
        <w:spacing w:line="20" w:lineRule="exact" w:before="0" w:after="0"/>
        <w:ind w:left="0" w:right="0" w:firstLine="0"/>
        <w:jc w:val="left"/>
        <w:sectPr>
          <w:footerReference w:type="default" r:id="rId9"/>
          <w:headerReference w:type="default" r:id="rId22"/>
          <w:headerReference w:type="first" r:id="rId23"/>
          <w:cols w:space="720"/>
          <w:docGrid w:linePitch="360"/>
          <w:type w:val="nextPage"/>
          <w:pgSz w:w="16838" w:h="11906" w:orient="landscape"/>
          <w:pgMar w:top="1134" w:bottom="1134" w:left="1701" w:right="850" w:header="709" w:footer="709" w:gutter="0"/>
        </w:sectPr>
      </w:pPr>
    </w:p>
    <w:p>
      <w:pPr>
        <w:pStyle w:val="Heading1"/>
        <w:keepNext/>
        <w:keepLines/>
        <w:pageBreakBefore w:val="0"/>
        <w:widowControl/>
        <w:spacing w:line="360" w:lineRule="auto" w:before="240" w:after="120"/>
        <w:ind w:left="0" w:right="0" w:firstLine="0"/>
        <w:jc w:val="center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  <w:lang w:val="ru-RU"/>
        </w:rPr>
        <w:t>5 Проблемы текущего процесса</w:t>
      </w:r>
    </w:p>
    <w:p>
      <w:pPr>
        <w:pStyle w:val="Подписьтаблицы"/>
        <w:keepNext/>
        <w:keepLines/>
        <w:pageBreakBefore w:val="0"/>
        <w:widowControl/>
        <w:spacing w:before="120" w:after="60" w:line="240" w:lineRule="auto"/>
        <w:ind w:left="0" w:right="0" w:firstLine="0"/>
        <w:jc w:val="left"/>
      </w:pPr>
      <w:r>
        <w:rPr>
          <w:rFonts w:ascii="Times New Roman" w:hAnsi="Times New Roman" w:eastAsia="Times New Roman" w:cs="Times New Roman"/>
          <w:b w:val="0"/>
          <w:i/>
          <w:color w:val="000000"/>
          <w:sz w:val="24"/>
        </w:rPr>
        <w:t>Таблица 3 – Выявленные проблемы AS IS</w:t>
      </w:r>
    </w:p>
    <w:tbl>
      <w:tblPr>
        <w:jc w:val="center"/>
        <w:tblLayout w:type="fixed"/>
        <w:tblLook w:firstColumn="1" w:firstRow="1" w:lastColumn="0" w:lastRow="0" w:noHBand="0" w:noVBand="1" w:val="04A0"/>
        <w:tblW w:w="9354" w:type="dxa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</w:tblPr>
      <w:tblGrid>
        <w:gridCol w:w="794"/>
        <w:gridCol w:w="2891"/>
        <w:gridCol w:w="2835"/>
        <w:gridCol w:w="2835"/>
      </w:tblGrid>
      <w:tr>
        <w:trPr>
          <w:cantSplit/>
          <w:tblHeader/>
        </w:trPr>
        <w:tc>
          <w:tcPr>
            <w:tcW w:type="dxa" w:w="79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pStyle w:val="Тексттаблицы"/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  <w:lang w:val="ru-RU"/>
              </w:rPr>
              <w:t>Код</w:t>
            </w:r>
          </w:p>
        </w:tc>
        <w:tc>
          <w:tcPr>
            <w:tcW w:type="dxa" w:w="2891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pStyle w:val="Тексттаблицы"/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  <w:lang w:val="ru-RU"/>
              </w:rPr>
              <w:t>Проблема</w:t>
            </w:r>
          </w:p>
        </w:tc>
        <w:tc>
          <w:tcPr>
            <w:tcW w:type="dxa" w:w="2835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pStyle w:val="Тексттаблицы"/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  <w:lang w:val="ru-RU"/>
              </w:rPr>
              <w:t>Причина</w:t>
            </w:r>
          </w:p>
        </w:tc>
        <w:tc>
          <w:tcPr>
            <w:tcW w:type="dxa" w:w="2835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pStyle w:val="Тексттаблицы"/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  <w:lang w:val="ru-RU"/>
              </w:rPr>
              <w:t>Последствие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pStyle w:val="Тексттаблицы"/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lang w:val="ru-RU"/>
              </w:rPr>
              <w:t>P-01</w:t>
            </w:r>
          </w:p>
        </w:tc>
        <w:tc>
          <w:tcPr>
            <w:tcW w:type="dxa" w:w="2891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pStyle w:val="Тексттаблицы"/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lang w:val="ru-RU"/>
              </w:rPr>
              <w:t>Повторный ввод</w:t>
            </w:r>
          </w:p>
        </w:tc>
        <w:tc>
          <w:tcPr>
            <w:tcW w:type="dxa" w:w="2835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pStyle w:val="Тексттаблицы"/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lang w:val="ru-RU"/>
              </w:rPr>
              <w:t>Данные BOM, расчётов и Ozon хранятся раздельно</w:t>
            </w:r>
          </w:p>
        </w:tc>
        <w:tc>
          <w:tcPr>
            <w:tcW w:type="dxa" w:w="2835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pStyle w:val="Тексттаблицы"/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lang w:val="ru-RU"/>
              </w:rPr>
              <w:t>Ошибки и увеличение времени подготовки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pStyle w:val="Тексттаблицы"/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lang w:val="ru-RU"/>
              </w:rPr>
              <w:t>P-02</w:t>
            </w:r>
          </w:p>
        </w:tc>
        <w:tc>
          <w:tcPr>
            <w:tcW w:type="dxa" w:w="2891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pStyle w:val="Тексттаблицы"/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lang w:val="ru-RU"/>
              </w:rPr>
              <w:t>Ручная проверка совместимости</w:t>
            </w:r>
          </w:p>
        </w:tc>
        <w:tc>
          <w:tcPr>
            <w:tcW w:type="dxa" w:w="2835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pStyle w:val="Тексттаблицы"/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lang w:val="ru-RU"/>
              </w:rPr>
              <w:t>Ограничения не формализованы в единой базе правил</w:t>
            </w:r>
          </w:p>
        </w:tc>
        <w:tc>
          <w:tcPr>
            <w:tcW w:type="dxa" w:w="2835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pStyle w:val="Тексттаблицы"/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lang w:val="ru-RU"/>
              </w:rPr>
              <w:t>Зависимость от опыта специалиста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pStyle w:val="Тексттаблицы"/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lang w:val="ru-RU"/>
              </w:rPr>
              <w:t>P-03</w:t>
            </w:r>
          </w:p>
        </w:tc>
        <w:tc>
          <w:tcPr>
            <w:tcW w:type="dxa" w:w="2891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pStyle w:val="Тексттаблицы"/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lang w:val="ru-RU"/>
              </w:rPr>
              <w:t>Несогласованная массовая замена</w:t>
            </w:r>
          </w:p>
        </w:tc>
        <w:tc>
          <w:tcPr>
            <w:tcW w:type="dxa" w:w="2835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pStyle w:val="Тексттаблицы"/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lang w:val="ru-RU"/>
              </w:rPr>
              <w:t>Нет единого механизма анализа всех затронутых BOM</w:t>
            </w:r>
          </w:p>
        </w:tc>
        <w:tc>
          <w:tcPr>
            <w:tcW w:type="dxa" w:w="2835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pStyle w:val="Тексттаблицы"/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lang w:val="ru-RU"/>
              </w:rPr>
              <w:t>Карточки содержат разные версии состава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pStyle w:val="Тексттаблицы"/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lang w:val="ru-RU"/>
              </w:rPr>
              <w:t>P-04</w:t>
            </w:r>
          </w:p>
        </w:tc>
        <w:tc>
          <w:tcPr>
            <w:tcW w:type="dxa" w:w="2891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pStyle w:val="Тексттаблицы"/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lang w:val="ru-RU"/>
              </w:rPr>
              <w:t>Устаревшая цена</w:t>
            </w:r>
          </w:p>
        </w:tc>
        <w:tc>
          <w:tcPr>
            <w:tcW w:type="dxa" w:w="2835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pStyle w:val="Тексттаблицы"/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lang w:val="ru-RU"/>
              </w:rPr>
              <w:t>Цена поставщика и карточка обновляются в разное время</w:t>
            </w:r>
          </w:p>
        </w:tc>
        <w:tc>
          <w:tcPr>
            <w:tcW w:type="dxa" w:w="2835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pStyle w:val="Тексттаблицы"/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lang w:val="ru-RU"/>
              </w:rPr>
              <w:t>Некорректное товарное предложение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pStyle w:val="Тексттаблицы"/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lang w:val="ru-RU"/>
              </w:rPr>
              <w:t>P-05</w:t>
            </w:r>
          </w:p>
        </w:tc>
        <w:tc>
          <w:tcPr>
            <w:tcW w:type="dxa" w:w="2891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pStyle w:val="Тексттаблицы"/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lang w:val="ru-RU"/>
              </w:rPr>
              <w:t>Ошибки обязательных атрибутов</w:t>
            </w:r>
          </w:p>
        </w:tc>
        <w:tc>
          <w:tcPr>
            <w:tcW w:type="dxa" w:w="2835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pStyle w:val="Тексттаблицы"/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lang w:val="ru-RU"/>
              </w:rPr>
              <w:t>Полнота проверяется на позднем этапе</w:t>
            </w:r>
          </w:p>
        </w:tc>
        <w:tc>
          <w:tcPr>
            <w:tcW w:type="dxa" w:w="2835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pStyle w:val="Тексттаблицы"/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lang w:val="ru-RU"/>
              </w:rPr>
              <w:t>Отклонение публикации и возврат на исправление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pStyle w:val="Тексттаблицы"/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lang w:val="ru-RU"/>
              </w:rPr>
              <w:t>P-06</w:t>
            </w:r>
          </w:p>
        </w:tc>
        <w:tc>
          <w:tcPr>
            <w:tcW w:type="dxa" w:w="2891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pStyle w:val="Тексттаблицы"/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lang w:val="ru-RU"/>
              </w:rPr>
              <w:t>Нет сквозного аудита</w:t>
            </w:r>
          </w:p>
        </w:tc>
        <w:tc>
          <w:tcPr>
            <w:tcW w:type="dxa" w:w="2835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pStyle w:val="Тексттаблицы"/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lang w:val="ru-RU"/>
              </w:rPr>
              <w:t>История изменений распределена между инструментами</w:t>
            </w:r>
          </w:p>
        </w:tc>
        <w:tc>
          <w:tcPr>
            <w:tcW w:type="dxa" w:w="2835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pStyle w:val="Тексттаблицы"/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lang w:val="ru-RU"/>
              </w:rPr>
              <w:t>Трудно установить причину расхождения</w:t>
            </w:r>
          </w:p>
        </w:tc>
      </w:tr>
    </w:tbl>
    <w:p>
      <w:pPr>
        <w:pStyle w:val="Основнойтекстотчёта"/>
        <w:keepNext w:val="0"/>
        <w:keepLines w:val="0"/>
        <w:pageBreakBefore w:val="0"/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  <w:lang w:val="ru-RU"/>
        </w:rPr>
        <w:t>Основная системная проблема заключается в отсутствии единого объекта изменения. BOM, точная поставщицкая модель и карточка Ozon связаны логически, но обновляются раздельно. Поэтому целевая ИС должна управлять зависимостями и повторно проверять все связанные данные после изменения.</w:t>
      </w:r>
    </w:p>
    <w:p>
      <w:pPr>
        <w:pStyle w:val="Heading1"/>
        <w:keepNext/>
        <w:keepLines/>
        <w:pageBreakBefore w:val="0"/>
        <w:widowControl/>
        <w:spacing w:line="360" w:lineRule="auto" w:before="240" w:after="120"/>
        <w:ind w:left="0" w:right="0" w:firstLine="0"/>
        <w:jc w:val="center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  <w:lang w:val="ru-RU"/>
        </w:rPr>
        <w:t>6 Функциональные требования</w:t>
      </w:r>
    </w:p>
    <w:p>
      <w:pPr>
        <w:pStyle w:val="Основнойтекстотчёта"/>
        <w:keepNext w:val="0"/>
        <w:keepLines w:val="0"/>
        <w:pageBreakBefore w:val="0"/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  <w:lang w:val="ru-RU"/>
        </w:rPr>
        <w:t>Каждое требование описывает наблюдаемое поведение системы и может быть проверено через соответствующий сценарий использования.</w:t>
      </w:r>
    </w:p>
    <w:p>
      <w:pPr>
        <w:pStyle w:val="Подписьтаблицы"/>
        <w:keepNext/>
        <w:keepLines/>
        <w:pageBreakBefore w:val="0"/>
        <w:widowControl/>
        <w:spacing w:before="120" w:after="60" w:line="240" w:lineRule="auto"/>
        <w:ind w:left="0" w:right="0" w:firstLine="0"/>
        <w:jc w:val="left"/>
      </w:pPr>
      <w:r>
        <w:rPr>
          <w:rFonts w:ascii="Times New Roman" w:hAnsi="Times New Roman" w:eastAsia="Times New Roman" w:cs="Times New Roman"/>
          <w:b w:val="0"/>
          <w:i/>
          <w:color w:val="000000"/>
          <w:sz w:val="24"/>
        </w:rPr>
        <w:t>Таблица 4 – Функциональные требования</w:t>
      </w:r>
    </w:p>
    <w:tbl>
      <w:tblPr>
        <w:jc w:val="center"/>
        <w:tblLayout w:type="fixed"/>
        <w:tblLook w:firstColumn="1" w:firstRow="1" w:lastColumn="0" w:lastRow="0" w:noHBand="0" w:noVBand="1" w:val="04A0"/>
        <w:tblW w:w="9354" w:type="dxa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</w:tblPr>
      <w:tblGrid>
        <w:gridCol w:w="850"/>
        <w:gridCol w:w="4592"/>
        <w:gridCol w:w="2381"/>
        <w:gridCol w:w="1531"/>
      </w:tblGrid>
      <w:tr>
        <w:trPr>
          <w:cantSplit/>
          <w:tblHeader/>
        </w:trPr>
        <w:tc>
          <w:tcPr>
            <w:tcW w:type="dxa" w:w="85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pStyle w:val="Тексттаблицы"/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  <w:lang w:val="ru-RU"/>
              </w:rPr>
              <w:t>Код</w:t>
            </w:r>
          </w:p>
        </w:tc>
        <w:tc>
          <w:tcPr>
            <w:tcW w:type="dxa" w:w="459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pStyle w:val="Тексттаблицы"/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  <w:lang w:val="ru-RU"/>
              </w:rPr>
              <w:t>Содержание требования</w:t>
            </w:r>
          </w:p>
        </w:tc>
        <w:tc>
          <w:tcPr>
            <w:tcW w:type="dxa" w:w="2381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pStyle w:val="Тексттаблицы"/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  <w:lang w:val="ru-RU"/>
              </w:rPr>
              <w:t>Роль</w:t>
            </w:r>
          </w:p>
        </w:tc>
        <w:tc>
          <w:tcPr>
            <w:tcW w:type="dxa" w:w="1531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pStyle w:val="Тексттаблицы"/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  <w:lang w:val="ru-RU"/>
              </w:rPr>
              <w:t>Приоритет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pStyle w:val="Тексттаблицы"/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lang w:val="ru-RU"/>
              </w:rPr>
              <w:t>FR-01</w:t>
            </w:r>
          </w:p>
        </w:tc>
        <w:tc>
          <w:tcPr>
            <w:tcW w:type="dxa" w:w="459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pStyle w:val="Тексттаблицы"/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lang w:val="ru-RU"/>
              </w:rPr>
              <w:t>Система должна регистрировать запрос на создание или актуализацию карточки товара.</w:t>
            </w:r>
          </w:p>
        </w:tc>
        <w:tc>
          <w:tcPr>
            <w:tcW w:type="dxa" w:w="2381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pStyle w:val="Тексттаблицы"/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lang w:val="ru-RU"/>
              </w:rPr>
              <w:t>Менеджер маркетплейсов</w:t>
            </w:r>
          </w:p>
        </w:tc>
        <w:tc>
          <w:tcPr>
            <w:tcW w:type="dxa" w:w="1531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pStyle w:val="Тексттаблицы"/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lang w:val="ru-RU"/>
              </w:rPr>
              <w:t>Высокий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pStyle w:val="Тексттаблицы"/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lang w:val="ru-RU"/>
              </w:rPr>
              <w:t>FR-02</w:t>
            </w:r>
          </w:p>
        </w:tc>
        <w:tc>
          <w:tcPr>
            <w:tcW w:type="dxa" w:w="459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pStyle w:val="Тексттаблицы"/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lang w:val="ru-RU"/>
              </w:rPr>
              <w:t>Система должна создавать BOM с привязкой к корпусу и уникальному коду конфигурации.</w:t>
            </w:r>
          </w:p>
        </w:tc>
        <w:tc>
          <w:tcPr>
            <w:tcW w:type="dxa" w:w="2381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pStyle w:val="Тексттаблицы"/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lang w:val="ru-RU"/>
              </w:rPr>
              <w:t>Технический специалист</w:t>
            </w:r>
          </w:p>
        </w:tc>
        <w:tc>
          <w:tcPr>
            <w:tcW w:type="dxa" w:w="1531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pStyle w:val="Тексттаблицы"/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lang w:val="ru-RU"/>
              </w:rPr>
              <w:t>Высокий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pStyle w:val="Тексттаблицы"/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lang w:val="ru-RU"/>
              </w:rPr>
              <w:t>FR-03</w:t>
            </w:r>
          </w:p>
        </w:tc>
        <w:tc>
          <w:tcPr>
            <w:tcW w:type="dxa" w:w="459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pStyle w:val="Тексттаблицы"/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lang w:val="ru-RU"/>
              </w:rPr>
              <w:t>Система должна добавлять в слоты BOM как группу характеристик, например B650, так и точную модель компонента.</w:t>
            </w:r>
          </w:p>
        </w:tc>
        <w:tc>
          <w:tcPr>
            <w:tcW w:type="dxa" w:w="2381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pStyle w:val="Тексттаблицы"/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lang w:val="ru-RU"/>
              </w:rPr>
              <w:t>Технический специалист</w:t>
            </w:r>
          </w:p>
        </w:tc>
        <w:tc>
          <w:tcPr>
            <w:tcW w:type="dxa" w:w="1531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pStyle w:val="Тексттаблицы"/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lang w:val="ru-RU"/>
              </w:rPr>
              <w:t>Высокий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pStyle w:val="Тексттаблицы"/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lang w:val="ru-RU"/>
              </w:rPr>
              <w:t>FR-04</w:t>
            </w:r>
          </w:p>
        </w:tc>
        <w:tc>
          <w:tcPr>
            <w:tcW w:type="dxa" w:w="459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pStyle w:val="Тексттаблицы"/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lang w:val="ru-RU"/>
              </w:rPr>
              <w:t>Система должна хранить правила совместимости компонентов и проверять конфигурацию при каждом изменении BOM.</w:t>
            </w:r>
          </w:p>
        </w:tc>
        <w:tc>
          <w:tcPr>
            <w:tcW w:type="dxa" w:w="2381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pStyle w:val="Тексттаблицы"/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lang w:val="ru-RU"/>
              </w:rPr>
              <w:t>Технический специалист</w:t>
            </w:r>
          </w:p>
        </w:tc>
        <w:tc>
          <w:tcPr>
            <w:tcW w:type="dxa" w:w="1531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pStyle w:val="Тексттаблицы"/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lang w:val="ru-RU"/>
              </w:rPr>
              <w:t>Высокий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pStyle w:val="Тексттаблицы"/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lang w:val="ru-RU"/>
              </w:rPr>
              <w:t>FR-05</w:t>
            </w:r>
          </w:p>
        </w:tc>
        <w:tc>
          <w:tcPr>
            <w:tcW w:type="dxa" w:w="459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pStyle w:val="Тексттаблицы"/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lang w:val="ru-RU"/>
              </w:rPr>
              <w:t>Система должна показывать нарушенное правило и компоненты, вызвавшие конфликт.</w:t>
            </w:r>
          </w:p>
        </w:tc>
        <w:tc>
          <w:tcPr>
            <w:tcW w:type="dxa" w:w="2381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pStyle w:val="Тексттаблицы"/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lang w:val="ru-RU"/>
              </w:rPr>
              <w:t>Технический специалист</w:t>
            </w:r>
          </w:p>
        </w:tc>
        <w:tc>
          <w:tcPr>
            <w:tcW w:type="dxa" w:w="1531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pStyle w:val="Тексттаблицы"/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lang w:val="ru-RU"/>
              </w:rPr>
              <w:t>Высокий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pStyle w:val="Тексттаблицы"/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lang w:val="ru-RU"/>
              </w:rPr>
              <w:t>FR-06</w:t>
            </w:r>
          </w:p>
        </w:tc>
        <w:tc>
          <w:tcPr>
            <w:tcW w:type="dxa" w:w="459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pStyle w:val="Тексттаблицы"/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lang w:val="ru-RU"/>
              </w:rPr>
              <w:t>Система должна сопоставлять внутренний компонент с товарами PC4Games и ITPartner.</w:t>
            </w:r>
          </w:p>
        </w:tc>
        <w:tc>
          <w:tcPr>
            <w:tcW w:type="dxa" w:w="2381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pStyle w:val="Тексттаблицы"/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lang w:val="ru-RU"/>
              </w:rPr>
              <w:t>Технический специалист</w:t>
            </w:r>
          </w:p>
        </w:tc>
        <w:tc>
          <w:tcPr>
            <w:tcW w:type="dxa" w:w="1531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pStyle w:val="Тексттаблицы"/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lang w:val="ru-RU"/>
              </w:rPr>
              <w:t>Высокий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pStyle w:val="Тексттаблицы"/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lang w:val="ru-RU"/>
              </w:rPr>
              <w:t>FR-07</w:t>
            </w:r>
          </w:p>
        </w:tc>
        <w:tc>
          <w:tcPr>
            <w:tcW w:type="dxa" w:w="459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pStyle w:val="Тексттаблицы"/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lang w:val="ru-RU"/>
              </w:rPr>
              <w:t>Система должна загружать цены, наличие и дату актуальности предложений поставщиков.</w:t>
            </w:r>
          </w:p>
        </w:tc>
        <w:tc>
          <w:tcPr>
            <w:tcW w:type="dxa" w:w="2381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pStyle w:val="Тексттаблицы"/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lang w:val="ru-RU"/>
              </w:rPr>
              <w:t>Система</w:t>
            </w:r>
          </w:p>
        </w:tc>
        <w:tc>
          <w:tcPr>
            <w:tcW w:type="dxa" w:w="1531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pStyle w:val="Тексттаблицы"/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lang w:val="ru-RU"/>
              </w:rPr>
              <w:t>Высокий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pStyle w:val="Тексттаблицы"/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lang w:val="ru-RU"/>
              </w:rPr>
              <w:t>FR-08</w:t>
            </w:r>
          </w:p>
        </w:tc>
        <w:tc>
          <w:tcPr>
            <w:tcW w:type="dxa" w:w="459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pStyle w:val="Тексттаблицы"/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lang w:val="ru-RU"/>
              </w:rPr>
              <w:t>Система должна выбирать применимое предложение поставщика по заданным правилам приоритета.</w:t>
            </w:r>
          </w:p>
        </w:tc>
        <w:tc>
          <w:tcPr>
            <w:tcW w:type="dxa" w:w="2381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pStyle w:val="Тексттаблицы"/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lang w:val="ru-RU"/>
              </w:rPr>
              <w:t>Система</w:t>
            </w:r>
          </w:p>
        </w:tc>
        <w:tc>
          <w:tcPr>
            <w:tcW w:type="dxa" w:w="1531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pStyle w:val="Тексттаблицы"/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lang w:val="ru-RU"/>
              </w:rPr>
              <w:t>Средний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pStyle w:val="Тексттаблицы"/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lang w:val="ru-RU"/>
              </w:rPr>
              <w:t>FR-09</w:t>
            </w:r>
          </w:p>
        </w:tc>
        <w:tc>
          <w:tcPr>
            <w:tcW w:type="dxa" w:w="459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pStyle w:val="Тексттаблицы"/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lang w:val="ru-RU"/>
              </w:rPr>
              <w:t>Система должна рассчитывать себестоимость и цену карточки по актуальным предложениям и правилам наценки.</w:t>
            </w:r>
          </w:p>
        </w:tc>
        <w:tc>
          <w:tcPr>
            <w:tcW w:type="dxa" w:w="2381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pStyle w:val="Тексттаблицы"/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lang w:val="ru-RU"/>
              </w:rPr>
              <w:t>Менеджер маркетплейсов</w:t>
            </w:r>
          </w:p>
        </w:tc>
        <w:tc>
          <w:tcPr>
            <w:tcW w:type="dxa" w:w="1531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pStyle w:val="Тексттаблицы"/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lang w:val="ru-RU"/>
              </w:rPr>
              <w:t>Высокий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pStyle w:val="Тексттаблицы"/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lang w:val="ru-RU"/>
              </w:rPr>
              <w:t>FR-10</w:t>
            </w:r>
          </w:p>
        </w:tc>
        <w:tc>
          <w:tcPr>
            <w:tcW w:type="dxa" w:w="459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pStyle w:val="Тексттаблицы"/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lang w:val="ru-RU"/>
              </w:rPr>
              <w:t>Система должна рассчитывать массу товара с упаковкой по составу BOM и правилам веса.</w:t>
            </w:r>
          </w:p>
        </w:tc>
        <w:tc>
          <w:tcPr>
            <w:tcW w:type="dxa" w:w="2381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pStyle w:val="Тексттаблицы"/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lang w:val="ru-RU"/>
              </w:rPr>
              <w:t>Система</w:t>
            </w:r>
          </w:p>
        </w:tc>
        <w:tc>
          <w:tcPr>
            <w:tcW w:type="dxa" w:w="1531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pStyle w:val="Тексттаблицы"/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lang w:val="ru-RU"/>
              </w:rPr>
              <w:t>Средний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pStyle w:val="Тексттаблицы"/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lang w:val="ru-RU"/>
              </w:rPr>
              <w:t>FR-11</w:t>
            </w:r>
          </w:p>
        </w:tc>
        <w:tc>
          <w:tcPr>
            <w:tcW w:type="dxa" w:w="459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pStyle w:val="Тексттаблицы"/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lang w:val="ru-RU"/>
              </w:rPr>
              <w:t>Система должна находить все BOM, содержащие выбранный компонент или его точную поставщицкую позицию.</w:t>
            </w:r>
          </w:p>
        </w:tc>
        <w:tc>
          <w:tcPr>
            <w:tcW w:type="dxa" w:w="2381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pStyle w:val="Тексттаблицы"/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lang w:val="ru-RU"/>
              </w:rPr>
              <w:t>Технический специалист</w:t>
            </w:r>
          </w:p>
        </w:tc>
        <w:tc>
          <w:tcPr>
            <w:tcW w:type="dxa" w:w="1531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pStyle w:val="Тексттаблицы"/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lang w:val="ru-RU"/>
              </w:rPr>
              <w:t>Высокий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pStyle w:val="Тексттаблицы"/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lang w:val="ru-RU"/>
              </w:rPr>
              <w:t>FR-12</w:t>
            </w:r>
          </w:p>
        </w:tc>
        <w:tc>
          <w:tcPr>
            <w:tcW w:type="dxa" w:w="459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pStyle w:val="Тексттаблицы"/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lang w:val="ru-RU"/>
              </w:rPr>
              <w:t>Система должна выполнять массовую замену после предварительного показа затрагиваемых BOM и конфликтов.</w:t>
            </w:r>
          </w:p>
        </w:tc>
        <w:tc>
          <w:tcPr>
            <w:tcW w:type="dxa" w:w="2381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pStyle w:val="Тексттаблицы"/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lang w:val="ru-RU"/>
              </w:rPr>
              <w:t>Технический специалист</w:t>
            </w:r>
          </w:p>
        </w:tc>
        <w:tc>
          <w:tcPr>
            <w:tcW w:type="dxa" w:w="1531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pStyle w:val="Тексттаблицы"/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lang w:val="ru-RU"/>
              </w:rPr>
              <w:t>Высокий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pStyle w:val="Тексттаблицы"/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lang w:val="ru-RU"/>
              </w:rPr>
              <w:t>FR-13</w:t>
            </w:r>
          </w:p>
        </w:tc>
        <w:tc>
          <w:tcPr>
            <w:tcW w:type="dxa" w:w="459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pStyle w:val="Тексттаблицы"/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lang w:val="ru-RU"/>
              </w:rPr>
              <w:t>Система должна повторно проверять совместимость, цену, вес и полноту всех изменённых BOM.</w:t>
            </w:r>
          </w:p>
        </w:tc>
        <w:tc>
          <w:tcPr>
            <w:tcW w:type="dxa" w:w="2381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pStyle w:val="Тексттаблицы"/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lang w:val="ru-RU"/>
              </w:rPr>
              <w:t>Система</w:t>
            </w:r>
          </w:p>
        </w:tc>
        <w:tc>
          <w:tcPr>
            <w:tcW w:type="dxa" w:w="1531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pStyle w:val="Тексттаблицы"/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lang w:val="ru-RU"/>
              </w:rPr>
              <w:t>Высокий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pStyle w:val="Тексттаблицы"/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lang w:val="ru-RU"/>
              </w:rPr>
              <w:t>FR-14</w:t>
            </w:r>
          </w:p>
        </w:tc>
        <w:tc>
          <w:tcPr>
            <w:tcW w:type="dxa" w:w="459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pStyle w:val="Тексттаблицы"/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lang w:val="ru-RU"/>
              </w:rPr>
              <w:t>Система должна формировать изображения карточки по утверждённым шаблонам.</w:t>
            </w:r>
          </w:p>
        </w:tc>
        <w:tc>
          <w:tcPr>
            <w:tcW w:type="dxa" w:w="2381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pStyle w:val="Тексттаблицы"/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lang w:val="ru-RU"/>
              </w:rPr>
              <w:t>Дизайнер</w:t>
            </w:r>
          </w:p>
        </w:tc>
        <w:tc>
          <w:tcPr>
            <w:tcW w:type="dxa" w:w="1531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pStyle w:val="Тексттаблицы"/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lang w:val="ru-RU"/>
              </w:rPr>
              <w:t>Средний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pStyle w:val="Тексттаблицы"/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lang w:val="ru-RU"/>
              </w:rPr>
              <w:t>FR-15</w:t>
            </w:r>
          </w:p>
        </w:tc>
        <w:tc>
          <w:tcPr>
            <w:tcW w:type="dxa" w:w="459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pStyle w:val="Тексттаблицы"/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lang w:val="ru-RU"/>
              </w:rPr>
              <w:t>Система должна формировать название, описание и набор характеристик карточки из данных BOM.</w:t>
            </w:r>
          </w:p>
        </w:tc>
        <w:tc>
          <w:tcPr>
            <w:tcW w:type="dxa" w:w="2381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pStyle w:val="Тексттаблицы"/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lang w:val="ru-RU"/>
              </w:rPr>
              <w:t>Система</w:t>
            </w:r>
          </w:p>
        </w:tc>
        <w:tc>
          <w:tcPr>
            <w:tcW w:type="dxa" w:w="1531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pStyle w:val="Тексттаблицы"/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lang w:val="ru-RU"/>
              </w:rPr>
              <w:t>Высокий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pStyle w:val="Тексттаблицы"/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lang w:val="ru-RU"/>
              </w:rPr>
              <w:t>FR-16</w:t>
            </w:r>
          </w:p>
        </w:tc>
        <w:tc>
          <w:tcPr>
            <w:tcW w:type="dxa" w:w="459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pStyle w:val="Тексттаблицы"/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lang w:val="ru-RU"/>
              </w:rPr>
              <w:t>Система должна проверять заполнение обязательных атрибутов категории Ozon до публикации.</w:t>
            </w:r>
          </w:p>
        </w:tc>
        <w:tc>
          <w:tcPr>
            <w:tcW w:type="dxa" w:w="2381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pStyle w:val="Тексттаблицы"/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lang w:val="ru-RU"/>
              </w:rPr>
              <w:t>Менеджер маркетплейсов</w:t>
            </w:r>
          </w:p>
        </w:tc>
        <w:tc>
          <w:tcPr>
            <w:tcW w:type="dxa" w:w="1531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pStyle w:val="Тексттаблицы"/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lang w:val="ru-RU"/>
              </w:rPr>
              <w:t>Высокий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pStyle w:val="Тексттаблицы"/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lang w:val="ru-RU"/>
              </w:rPr>
              <w:t>FR-17</w:t>
            </w:r>
          </w:p>
        </w:tc>
        <w:tc>
          <w:tcPr>
            <w:tcW w:type="dxa" w:w="459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pStyle w:val="Тексттаблицы"/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lang w:val="ru-RU"/>
              </w:rPr>
              <w:t>Система должна создавать или обновлять карточку товара через API Ozon.</w:t>
            </w:r>
          </w:p>
        </w:tc>
        <w:tc>
          <w:tcPr>
            <w:tcW w:type="dxa" w:w="2381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pStyle w:val="Тексттаблицы"/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lang w:val="ru-RU"/>
              </w:rPr>
              <w:t>Менеджер маркетплейсов</w:t>
            </w:r>
          </w:p>
        </w:tc>
        <w:tc>
          <w:tcPr>
            <w:tcW w:type="dxa" w:w="1531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pStyle w:val="Тексттаблицы"/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lang w:val="ru-RU"/>
              </w:rPr>
              <w:t>Высокий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pStyle w:val="Тексттаблицы"/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lang w:val="ru-RU"/>
              </w:rPr>
              <w:t>FR-18</w:t>
            </w:r>
          </w:p>
        </w:tc>
        <w:tc>
          <w:tcPr>
            <w:tcW w:type="dxa" w:w="459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pStyle w:val="Тексттаблицы"/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lang w:val="ru-RU"/>
              </w:rPr>
              <w:t>Система должна сохранять идентификатор операции, ответ Ozon и итоговый статус публикации.</w:t>
            </w:r>
          </w:p>
        </w:tc>
        <w:tc>
          <w:tcPr>
            <w:tcW w:type="dxa" w:w="2381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pStyle w:val="Тексттаблицы"/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lang w:val="ru-RU"/>
              </w:rPr>
              <w:t>Система</w:t>
            </w:r>
          </w:p>
        </w:tc>
        <w:tc>
          <w:tcPr>
            <w:tcW w:type="dxa" w:w="1531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pStyle w:val="Тексттаблицы"/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lang w:val="ru-RU"/>
              </w:rPr>
              <w:t>Высокий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pStyle w:val="Тексттаблицы"/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lang w:val="ru-RU"/>
              </w:rPr>
              <w:t>FR-19</w:t>
            </w:r>
          </w:p>
        </w:tc>
        <w:tc>
          <w:tcPr>
            <w:tcW w:type="dxa" w:w="459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pStyle w:val="Тексттаблицы"/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lang w:val="ru-RU"/>
              </w:rPr>
              <w:t>Система должна помещать неуспешную внешнюю операцию в очередь повторной отправки.</w:t>
            </w:r>
          </w:p>
        </w:tc>
        <w:tc>
          <w:tcPr>
            <w:tcW w:type="dxa" w:w="2381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pStyle w:val="Тексттаблицы"/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lang w:val="ru-RU"/>
              </w:rPr>
              <w:t>Система</w:t>
            </w:r>
          </w:p>
        </w:tc>
        <w:tc>
          <w:tcPr>
            <w:tcW w:type="dxa" w:w="1531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pStyle w:val="Тексттаблицы"/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lang w:val="ru-RU"/>
              </w:rPr>
              <w:t>Высокий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pStyle w:val="Тексттаблицы"/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lang w:val="ru-RU"/>
              </w:rPr>
              <w:t>FR-20</w:t>
            </w:r>
          </w:p>
        </w:tc>
        <w:tc>
          <w:tcPr>
            <w:tcW w:type="dxa" w:w="459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pStyle w:val="Тексттаблицы"/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lang w:val="ru-RU"/>
              </w:rPr>
              <w:t>Система должна вести историю версий BOM, карточек, массовых замен и действий пользователей.</w:t>
            </w:r>
          </w:p>
        </w:tc>
        <w:tc>
          <w:tcPr>
            <w:tcW w:type="dxa" w:w="2381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pStyle w:val="Тексттаблицы"/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lang w:val="ru-RU"/>
              </w:rPr>
              <w:t>Администратор</w:t>
            </w:r>
          </w:p>
        </w:tc>
        <w:tc>
          <w:tcPr>
            <w:tcW w:type="dxa" w:w="1531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pStyle w:val="Тексттаблицы"/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lang w:val="ru-RU"/>
              </w:rPr>
              <w:t>Высокий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pStyle w:val="Тексттаблицы"/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lang w:val="ru-RU"/>
              </w:rPr>
              <w:t>FR-21</w:t>
            </w:r>
          </w:p>
        </w:tc>
        <w:tc>
          <w:tcPr>
            <w:tcW w:type="dxa" w:w="459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pStyle w:val="Тексттаблицы"/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lang w:val="ru-RU"/>
              </w:rPr>
              <w:t>Система должна уведомлять ответственного о несовместимости, устаревшей цене или ошибке публикации.</w:t>
            </w:r>
          </w:p>
        </w:tc>
        <w:tc>
          <w:tcPr>
            <w:tcW w:type="dxa" w:w="2381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pStyle w:val="Тексттаблицы"/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lang w:val="ru-RU"/>
              </w:rPr>
              <w:t>Система</w:t>
            </w:r>
          </w:p>
        </w:tc>
        <w:tc>
          <w:tcPr>
            <w:tcW w:type="dxa" w:w="1531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pStyle w:val="Тексттаблицы"/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lang w:val="ru-RU"/>
              </w:rPr>
              <w:t>Средний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pStyle w:val="Тексттаблицы"/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lang w:val="ru-RU"/>
              </w:rPr>
              <w:t>FR-22</w:t>
            </w:r>
          </w:p>
        </w:tc>
        <w:tc>
          <w:tcPr>
            <w:tcW w:type="dxa" w:w="459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pStyle w:val="Тексттаблицы"/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lang w:val="ru-RU"/>
              </w:rPr>
              <w:t>Система должна предоставлять поиск и фильтрацию BOM по корпусу, компоненту, поставщику и статусу карточки.</w:t>
            </w:r>
          </w:p>
        </w:tc>
        <w:tc>
          <w:tcPr>
            <w:tcW w:type="dxa" w:w="2381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pStyle w:val="Тексттаблицы"/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lang w:val="ru-RU"/>
              </w:rPr>
              <w:t>Все роли</w:t>
            </w:r>
          </w:p>
        </w:tc>
        <w:tc>
          <w:tcPr>
            <w:tcW w:type="dxa" w:w="1531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pStyle w:val="Тексттаблицы"/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lang w:val="ru-RU"/>
              </w:rPr>
              <w:t>Средний</w:t>
            </w:r>
          </w:p>
        </w:tc>
      </w:tr>
    </w:tbl>
    <w:p>
      <w:pPr>
        <w:pStyle w:val="Heading1"/>
        <w:keepNext/>
        <w:keepLines/>
        <w:pageBreakBefore w:val="0"/>
        <w:widowControl/>
        <w:spacing w:line="360" w:lineRule="auto" w:before="240" w:after="120"/>
        <w:ind w:left="0" w:right="0" w:firstLine="0"/>
        <w:jc w:val="center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  <w:lang w:val="ru-RU"/>
        </w:rPr>
        <w:t>7 Нефункциональные требования</w:t>
      </w:r>
    </w:p>
    <w:p>
      <w:pPr>
        <w:pStyle w:val="Подписьтаблицы"/>
        <w:keepNext/>
        <w:keepLines/>
        <w:pageBreakBefore w:val="0"/>
        <w:widowControl/>
        <w:spacing w:before="120" w:after="60" w:line="240" w:lineRule="auto"/>
        <w:ind w:left="0" w:right="0" w:firstLine="0"/>
        <w:jc w:val="left"/>
      </w:pPr>
      <w:r>
        <w:rPr>
          <w:rFonts w:ascii="Times New Roman" w:hAnsi="Times New Roman" w:eastAsia="Times New Roman" w:cs="Times New Roman"/>
          <w:b w:val="0"/>
          <w:i/>
          <w:color w:val="000000"/>
          <w:sz w:val="24"/>
        </w:rPr>
        <w:t>Таблица 5 – Нефункциональные требования</w:t>
      </w:r>
    </w:p>
    <w:tbl>
      <w:tblPr>
        <w:jc w:val="center"/>
        <w:tblLayout w:type="fixed"/>
        <w:tblLook w:firstColumn="1" w:firstRow="1" w:lastColumn="0" w:lastRow="0" w:noHBand="0" w:noVBand="1" w:val="04A0"/>
        <w:tblW w:w="9354" w:type="dxa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</w:tblPr>
      <w:tblGrid>
        <w:gridCol w:w="1191"/>
        <w:gridCol w:w="2438"/>
        <w:gridCol w:w="5726"/>
      </w:tblGrid>
      <w:tr>
        <w:trPr>
          <w:cantSplit/>
          <w:tblHeader/>
        </w:trPr>
        <w:tc>
          <w:tcPr>
            <w:tcW w:type="dxa" w:w="1191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pStyle w:val="Тексттаблицы"/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  <w:lang w:val="ru-RU"/>
              </w:rPr>
              <w:t>Код</w:t>
            </w:r>
          </w:p>
        </w:tc>
        <w:tc>
          <w:tcPr>
            <w:tcW w:type="dxa" w:w="243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pStyle w:val="Тексттаблицы"/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  <w:lang w:val="ru-RU"/>
              </w:rPr>
              <w:t>Категория</w:t>
            </w:r>
          </w:p>
        </w:tc>
        <w:tc>
          <w:tcPr>
            <w:tcW w:type="dxa" w:w="5726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pStyle w:val="Тексттаблицы"/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  <w:lang w:val="ru-RU"/>
              </w:rPr>
              <w:t>Измеримое требование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pStyle w:val="Тексттаблицы"/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lang w:val="ru-RU"/>
              </w:rPr>
              <w:t>NFR-01</w:t>
            </w:r>
          </w:p>
        </w:tc>
        <w:tc>
          <w:tcPr>
            <w:tcW w:type="dxa" w:w="243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pStyle w:val="Тексттаблицы"/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lang w:val="ru-RU"/>
              </w:rPr>
              <w:t>Производительность</w:t>
            </w:r>
          </w:p>
        </w:tc>
        <w:tc>
          <w:tcPr>
            <w:tcW w:type="dxa" w:w="5726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pStyle w:val="Тексттаблицы"/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lang w:val="ru-RU"/>
              </w:rPr>
              <w:t>95% запросов основных форм должны завершаться не более чем за 2 секунды при 50 одновременных пользователях.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pStyle w:val="Тексттаблицы"/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lang w:val="ru-RU"/>
              </w:rPr>
              <w:t>NFR-02</w:t>
            </w:r>
          </w:p>
        </w:tc>
        <w:tc>
          <w:tcPr>
            <w:tcW w:type="dxa" w:w="243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pStyle w:val="Тексттаблицы"/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lang w:val="ru-RU"/>
              </w:rPr>
              <w:t>Пакетная обработка</w:t>
            </w:r>
          </w:p>
        </w:tc>
        <w:tc>
          <w:tcPr>
            <w:tcW w:type="dxa" w:w="5726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pStyle w:val="Тексттаблицы"/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lang w:val="ru-RU"/>
              </w:rPr>
              <w:t>Система должна обработать массовую замену и повторную проверку 1000 BOM не более чем за 5 минут.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pStyle w:val="Тексттаблицы"/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lang w:val="ru-RU"/>
              </w:rPr>
              <w:t>NFR-03</w:t>
            </w:r>
          </w:p>
        </w:tc>
        <w:tc>
          <w:tcPr>
            <w:tcW w:type="dxa" w:w="243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pStyle w:val="Тексттаблицы"/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lang w:val="ru-RU"/>
              </w:rPr>
              <w:t>Доступность</w:t>
            </w:r>
          </w:p>
        </w:tc>
        <w:tc>
          <w:tcPr>
            <w:tcW w:type="dxa" w:w="5726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pStyle w:val="Тексттаблицы"/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lang w:val="ru-RU"/>
              </w:rPr>
              <w:t>Коэффициент доступности приложения должен составлять не менее 99,5% за календарный месяц без учёта согласованных профилактических работ.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pStyle w:val="Тексттаблицы"/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lang w:val="ru-RU"/>
              </w:rPr>
              <w:t>NFR-04</w:t>
            </w:r>
          </w:p>
        </w:tc>
        <w:tc>
          <w:tcPr>
            <w:tcW w:type="dxa" w:w="243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pStyle w:val="Тексттаблицы"/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lang w:val="ru-RU"/>
              </w:rPr>
              <w:t>Восстановление</w:t>
            </w:r>
          </w:p>
        </w:tc>
        <w:tc>
          <w:tcPr>
            <w:tcW w:type="dxa" w:w="5726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pStyle w:val="Тексттаблицы"/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lang w:val="ru-RU"/>
              </w:rPr>
              <w:t>Полное резервное копирование выполняется ежедневно; RPO не превышает 24 часов, RTO - 4 часов.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pStyle w:val="Тексттаблицы"/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lang w:val="ru-RU"/>
              </w:rPr>
              <w:t>NFR-05</w:t>
            </w:r>
          </w:p>
        </w:tc>
        <w:tc>
          <w:tcPr>
            <w:tcW w:type="dxa" w:w="243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pStyle w:val="Тексттаблицы"/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lang w:val="ru-RU"/>
              </w:rPr>
              <w:t>Защита канала</w:t>
            </w:r>
          </w:p>
        </w:tc>
        <w:tc>
          <w:tcPr>
            <w:tcW w:type="dxa" w:w="5726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pStyle w:val="Тексттаблицы"/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lang w:val="ru-RU"/>
              </w:rPr>
              <w:t>Все пользовательские и интеграционные соединения должны использовать TLS версии 1.2 или новее.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pStyle w:val="Тексттаблицы"/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lang w:val="ru-RU"/>
              </w:rPr>
              <w:t>NFR-06</w:t>
            </w:r>
          </w:p>
        </w:tc>
        <w:tc>
          <w:tcPr>
            <w:tcW w:type="dxa" w:w="243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pStyle w:val="Тексттаблицы"/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lang w:val="ru-RU"/>
              </w:rPr>
              <w:t>Аутентификация</w:t>
            </w:r>
          </w:p>
        </w:tc>
        <w:tc>
          <w:tcPr>
            <w:tcW w:type="dxa" w:w="5726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pStyle w:val="Тексттаблицы"/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lang w:val="ru-RU"/>
              </w:rPr>
              <w:t>Пароли должны храниться в виде стойких хешей Argon2id с уникальной солью; исходные пароли не сохраняются.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pStyle w:val="Тексттаблицы"/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lang w:val="ru-RU"/>
              </w:rPr>
              <w:t>NFR-07</w:t>
            </w:r>
          </w:p>
        </w:tc>
        <w:tc>
          <w:tcPr>
            <w:tcW w:type="dxa" w:w="243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pStyle w:val="Тексттаблицы"/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lang w:val="ru-RU"/>
              </w:rPr>
              <w:t>Авторизация</w:t>
            </w:r>
          </w:p>
        </w:tc>
        <w:tc>
          <w:tcPr>
            <w:tcW w:type="dxa" w:w="5726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pStyle w:val="Тексттаблицы"/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lang w:val="ru-RU"/>
              </w:rPr>
              <w:t>Доступ к BOM, справочникам, публикации и массовой замене должен разграничиваться ролями и проверяться на сервере.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pStyle w:val="Тексттаблицы"/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lang w:val="ru-RU"/>
              </w:rPr>
              <w:t>NFR-08</w:t>
            </w:r>
          </w:p>
        </w:tc>
        <w:tc>
          <w:tcPr>
            <w:tcW w:type="dxa" w:w="243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pStyle w:val="Тексттаблицы"/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lang w:val="ru-RU"/>
              </w:rPr>
              <w:t>Аудит</w:t>
            </w:r>
          </w:p>
        </w:tc>
        <w:tc>
          <w:tcPr>
            <w:tcW w:type="dxa" w:w="5726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pStyle w:val="Тексттаблицы"/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lang w:val="ru-RU"/>
              </w:rPr>
              <w:t>Журнал изменения BOM, цен, правил и публикаций должен храниться не менее одного года и содержать пользователя, время и изменённые значения.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pStyle w:val="Тексттаблицы"/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lang w:val="ru-RU"/>
              </w:rPr>
              <w:t>NFR-09</w:t>
            </w:r>
          </w:p>
        </w:tc>
        <w:tc>
          <w:tcPr>
            <w:tcW w:type="dxa" w:w="243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pStyle w:val="Тексттаблицы"/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lang w:val="ru-RU"/>
              </w:rPr>
              <w:t>Совместимость</w:t>
            </w:r>
          </w:p>
        </w:tc>
        <w:tc>
          <w:tcPr>
            <w:tcW w:type="dxa" w:w="5726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pStyle w:val="Тексттаблицы"/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lang w:val="ru-RU"/>
              </w:rPr>
              <w:t>Веб-интерфейс должен работать в двух последних стабильных версиях Chrome, Edge и Firefox при ширине экрана от 1280 пикселей.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pStyle w:val="Тексттаблицы"/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lang w:val="ru-RU"/>
              </w:rPr>
              <w:t>NFR-10</w:t>
            </w:r>
          </w:p>
        </w:tc>
        <w:tc>
          <w:tcPr>
            <w:tcW w:type="dxa" w:w="243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pStyle w:val="Тексттаблицы"/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lang w:val="ru-RU"/>
              </w:rPr>
              <w:t>Интеграции</w:t>
            </w:r>
          </w:p>
        </w:tc>
        <w:tc>
          <w:tcPr>
            <w:tcW w:type="dxa" w:w="5726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pStyle w:val="Тексттаблицы"/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lang w:val="ru-RU"/>
              </w:rPr>
              <w:t>При недоступности внешнего API система должна сохранить операцию и выполнить до трёх повторных попыток без создания дубликатов.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pStyle w:val="Тексттаблицы"/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lang w:val="ru-RU"/>
              </w:rPr>
              <w:t>NFR-11</w:t>
            </w:r>
          </w:p>
        </w:tc>
        <w:tc>
          <w:tcPr>
            <w:tcW w:type="dxa" w:w="243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pStyle w:val="Тексттаблицы"/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lang w:val="ru-RU"/>
              </w:rPr>
              <w:t>Целостность</w:t>
            </w:r>
          </w:p>
        </w:tc>
        <w:tc>
          <w:tcPr>
            <w:tcW w:type="dxa" w:w="5726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pStyle w:val="Тексттаблицы"/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lang w:val="ru-RU"/>
              </w:rPr>
              <w:t>Система не должна переводить карточку в статус «готова к публикации» при нарушении правил совместимости или отсутствии обязательных данных.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pStyle w:val="Тексттаблицы"/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lang w:val="ru-RU"/>
              </w:rPr>
              <w:t>NFR-12</w:t>
            </w:r>
          </w:p>
        </w:tc>
        <w:tc>
          <w:tcPr>
            <w:tcW w:type="dxa" w:w="243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pStyle w:val="Тексттаблицы"/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lang w:val="ru-RU"/>
              </w:rPr>
              <w:t>Сопровождаемость</w:t>
            </w:r>
          </w:p>
        </w:tc>
        <w:tc>
          <w:tcPr>
            <w:tcW w:type="dxa" w:w="5726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pStyle w:val="Тексттаблицы"/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lang w:val="ru-RU"/>
              </w:rPr>
              <w:t>Правила совместимости, цены, веса и сопоставления должны изменяться через справочники без модификации программного кода.</w:t>
            </w:r>
          </w:p>
        </w:tc>
      </w:tr>
    </w:tbl>
    <w:p>
      <w:pPr>
        <w:pStyle w:val="Heading1"/>
        <w:keepNext/>
        <w:keepLines/>
        <w:pageBreakBefore w:val="0"/>
        <w:widowControl/>
        <w:spacing w:line="360" w:lineRule="auto" w:before="240" w:after="120"/>
        <w:ind w:left="0" w:right="0" w:firstLine="0"/>
        <w:jc w:val="center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  <w:lang w:val="ru-RU"/>
        </w:rPr>
        <w:t>8 Сравнительный анализ программных аналогов</w:t>
      </w:r>
    </w:p>
    <w:p>
      <w:pPr>
        <w:pStyle w:val="Heading2"/>
        <w:keepNext/>
        <w:keepLines/>
        <w:pageBreakBefore w:val="0"/>
        <w:widowControl/>
        <w:spacing w:line="360" w:lineRule="auto" w:before="240" w:after="120"/>
        <w:ind w:left="0" w:right="0"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  <w:lang w:val="ru-RU"/>
        </w:rPr>
        <w:t>8.1 Выбор аналогов и методика</w:t>
      </w:r>
    </w:p>
    <w:p>
      <w:pPr>
        <w:pStyle w:val="Основнойтекстотчёта"/>
        <w:keepNext w:val="0"/>
        <w:keepLines w:val="0"/>
        <w:pageBreakBefore w:val="0"/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  <w:lang w:val="ru-RU"/>
        </w:rPr>
        <w:t>Для сравнения выбраны Ozon Seller как целевая площадка управления карточками, 1С:ERP как система учёта номенклатуры и предложений поставщиков, а также PIM-платформы Pimcore и Akeneo. Оценка отражает применимость стандартных возможностей к предметной задаче ООО «Юкомс», а не общее качество продукта.</w:t>
      </w:r>
    </w:p>
    <w:p>
      <w:pPr>
        <w:pStyle w:val="Основнойтекстотчёта"/>
        <w:keepNext w:val="0"/>
        <w:keepLines w:val="0"/>
        <w:pageBreakBefore w:val="0"/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  <w:lang w:val="ru-RU"/>
        </w:rPr>
        <w:t>Используется шкала от 0 до 5: 0 - функция отсутствует; 1 - требуется практически самостоятельная реализация; 2 - доступна частично; 3 - реализуется настройкой или расширением; 4 - хорошо поддерживается; 5 - полностью соответствует требованию без существенного обходного решения.</w:t>
      </w:r>
    </w:p>
    <w:p>
      <w:pPr>
        <w:keepNext w:val="0"/>
        <w:keepLines w:val="0"/>
        <w:pageBreakBefore w:val="0"/>
        <w:widowControl/>
        <w:spacing w:line="20" w:lineRule="exact" w:before="0" w:after="0"/>
        <w:ind w:left="0" w:right="0" w:firstLine="0"/>
        <w:jc w:val="left"/>
        <w:sectPr>
          <w:footerReference w:type="default" r:id="rId9"/>
          <w:headerReference w:type="default" r:id="rId22"/>
          <w:headerReference w:type="first" r:id="rId23"/>
          <w:cols w:space="720"/>
          <w:docGrid w:linePitch="360"/>
          <w:type w:val="nextPage"/>
          <w:pgSz w:w="11906" w:h="16838" w:orient="portrait"/>
          <w:pgMar w:top="1134" w:bottom="1134" w:left="1701" w:right="850" w:header="709" w:footer="709" w:gutter="0"/>
        </w:sectPr>
      </w:pPr>
    </w:p>
    <w:p>
      <w:pPr>
        <w:pStyle w:val="Подписьтаблицы"/>
        <w:keepNext/>
        <w:keepLines/>
        <w:pageBreakBefore w:val="0"/>
        <w:widowControl/>
        <w:spacing w:before="120" w:after="60" w:line="240" w:lineRule="auto"/>
        <w:ind w:left="0" w:right="0" w:firstLine="0"/>
        <w:jc w:val="left"/>
      </w:pPr>
      <w:r>
        <w:rPr>
          <w:rFonts w:ascii="Times New Roman" w:hAnsi="Times New Roman" w:eastAsia="Times New Roman" w:cs="Times New Roman"/>
          <w:b w:val="0"/>
          <w:i/>
          <w:color w:val="000000"/>
          <w:sz w:val="24"/>
        </w:rPr>
        <w:t>Таблица 6 – Экспертная оценка применимости аналогов</w:t>
      </w:r>
    </w:p>
    <w:tbl>
      <w:tblPr>
        <w:jc w:val="center"/>
        <w:tblLayout w:type="fixed"/>
        <w:tblLook w:firstColumn="1" w:firstRow="1" w:lastColumn="0" w:lastRow="0" w:noHBand="0" w:noVBand="1" w:val="04A0"/>
        <w:tblW w:w="14287" w:type="dxa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</w:tblPr>
      <w:tblGrid>
        <w:gridCol w:w="4649"/>
        <w:gridCol w:w="1928"/>
        <w:gridCol w:w="1928"/>
        <w:gridCol w:w="1928"/>
        <w:gridCol w:w="1928"/>
        <w:gridCol w:w="1928"/>
      </w:tblGrid>
      <w:tr>
        <w:trPr>
          <w:cantSplit/>
          <w:tblHeader/>
        </w:trPr>
        <w:tc>
          <w:tcPr>
            <w:tcW w:type="dxa" w:w="464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pStyle w:val="Тексттаблицы"/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  <w:lang w:val="ru-RU"/>
              </w:rPr>
              <w:t>Критерий</w:t>
            </w:r>
          </w:p>
        </w:tc>
        <w:tc>
          <w:tcPr>
            <w:tcW w:type="dxa" w:w="19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pStyle w:val="Тексттаблицы"/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  <w:lang w:val="ru-RU"/>
              </w:rPr>
              <w:t>Ozon Seller</w:t>
            </w:r>
          </w:p>
        </w:tc>
        <w:tc>
          <w:tcPr>
            <w:tcW w:type="dxa" w:w="19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pStyle w:val="Тексттаблицы"/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  <w:lang w:val="ru-RU"/>
              </w:rPr>
              <w:t>1С:ERP</w:t>
            </w:r>
          </w:p>
        </w:tc>
        <w:tc>
          <w:tcPr>
            <w:tcW w:type="dxa" w:w="19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pStyle w:val="Тексттаблицы"/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  <w:lang w:val="ru-RU"/>
              </w:rPr>
              <w:t>Pimcore</w:t>
            </w:r>
          </w:p>
        </w:tc>
        <w:tc>
          <w:tcPr>
            <w:tcW w:type="dxa" w:w="19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pStyle w:val="Тексттаблицы"/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  <w:lang w:val="ru-RU"/>
              </w:rPr>
              <w:t>Akeneo PIM</w:t>
            </w:r>
          </w:p>
        </w:tc>
        <w:tc>
          <w:tcPr>
            <w:tcW w:type="dxa" w:w="19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pStyle w:val="Тексттаблицы"/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  <w:lang w:val="ru-RU"/>
              </w:rPr>
              <w:t>Проектируемая ИС</w:t>
            </w:r>
          </w:p>
        </w:tc>
      </w:tr>
      <w:tr>
        <w:trPr>
          <w:cantSplit/>
        </w:trPr>
        <w:tc>
          <w:tcPr>
            <w:tcW w:type="dxa" w:w="464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pStyle w:val="Тексттаблицы"/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lang w:val="ru-RU"/>
              </w:rPr>
              <w:t>BOM и конфигурации</w:t>
            </w:r>
          </w:p>
        </w:tc>
        <w:tc>
          <w:tcPr>
            <w:tcW w:type="dxa" w:w="19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pStyle w:val="Тексттаблицы"/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lang w:val="ru-RU"/>
              </w:rPr>
              <w:t>0</w:t>
            </w:r>
          </w:p>
        </w:tc>
        <w:tc>
          <w:tcPr>
            <w:tcW w:type="dxa" w:w="19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pStyle w:val="Тексттаблицы"/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lang w:val="ru-RU"/>
              </w:rPr>
              <w:t>5</w:t>
            </w:r>
          </w:p>
        </w:tc>
        <w:tc>
          <w:tcPr>
            <w:tcW w:type="dxa" w:w="19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pStyle w:val="Тексттаблицы"/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lang w:val="ru-RU"/>
              </w:rPr>
              <w:t>3</w:t>
            </w:r>
          </w:p>
        </w:tc>
        <w:tc>
          <w:tcPr>
            <w:tcW w:type="dxa" w:w="19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pStyle w:val="Тексттаблицы"/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lang w:val="ru-RU"/>
              </w:rPr>
              <w:t>2</w:t>
            </w:r>
          </w:p>
        </w:tc>
        <w:tc>
          <w:tcPr>
            <w:tcW w:type="dxa" w:w="19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pStyle w:val="Тексттаблицы"/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lang w:val="ru-RU"/>
              </w:rPr>
              <w:t>5</w:t>
            </w:r>
          </w:p>
        </w:tc>
      </w:tr>
      <w:tr>
        <w:trPr>
          <w:cantSplit/>
        </w:trPr>
        <w:tc>
          <w:tcPr>
            <w:tcW w:type="dxa" w:w="464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pStyle w:val="Тексттаблицы"/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lang w:val="ru-RU"/>
              </w:rPr>
              <w:t>Правила совместимости</w:t>
            </w:r>
          </w:p>
        </w:tc>
        <w:tc>
          <w:tcPr>
            <w:tcW w:type="dxa" w:w="19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pStyle w:val="Тексттаблицы"/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lang w:val="ru-RU"/>
              </w:rPr>
              <w:t>0</w:t>
            </w:r>
          </w:p>
        </w:tc>
        <w:tc>
          <w:tcPr>
            <w:tcW w:type="dxa" w:w="19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pStyle w:val="Тексттаблицы"/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lang w:val="ru-RU"/>
              </w:rPr>
              <w:t>2</w:t>
            </w:r>
          </w:p>
        </w:tc>
        <w:tc>
          <w:tcPr>
            <w:tcW w:type="dxa" w:w="19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pStyle w:val="Тексттаблицы"/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lang w:val="ru-RU"/>
              </w:rPr>
              <w:t>3</w:t>
            </w:r>
          </w:p>
        </w:tc>
        <w:tc>
          <w:tcPr>
            <w:tcW w:type="dxa" w:w="19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pStyle w:val="Тексттаблицы"/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lang w:val="ru-RU"/>
              </w:rPr>
              <w:t>1</w:t>
            </w:r>
          </w:p>
        </w:tc>
        <w:tc>
          <w:tcPr>
            <w:tcW w:type="dxa" w:w="19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pStyle w:val="Тексттаблицы"/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lang w:val="ru-RU"/>
              </w:rPr>
              <w:t>5</w:t>
            </w:r>
          </w:p>
        </w:tc>
      </w:tr>
      <w:tr>
        <w:trPr>
          <w:cantSplit/>
        </w:trPr>
        <w:tc>
          <w:tcPr>
            <w:tcW w:type="dxa" w:w="464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pStyle w:val="Тексттаблицы"/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lang w:val="ru-RU"/>
              </w:rPr>
              <w:t>Связь с товарами поставщиков</w:t>
            </w:r>
          </w:p>
        </w:tc>
        <w:tc>
          <w:tcPr>
            <w:tcW w:type="dxa" w:w="19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pStyle w:val="Тексттаблицы"/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lang w:val="ru-RU"/>
              </w:rPr>
              <w:t>1</w:t>
            </w:r>
          </w:p>
        </w:tc>
        <w:tc>
          <w:tcPr>
            <w:tcW w:type="dxa" w:w="19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pStyle w:val="Тексттаблицы"/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lang w:val="ru-RU"/>
              </w:rPr>
              <w:t>5</w:t>
            </w:r>
          </w:p>
        </w:tc>
        <w:tc>
          <w:tcPr>
            <w:tcW w:type="dxa" w:w="19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pStyle w:val="Тексттаблицы"/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lang w:val="ru-RU"/>
              </w:rPr>
              <w:t>3</w:t>
            </w:r>
          </w:p>
        </w:tc>
        <w:tc>
          <w:tcPr>
            <w:tcW w:type="dxa" w:w="19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pStyle w:val="Тексттаблицы"/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lang w:val="ru-RU"/>
              </w:rPr>
              <w:t>4</w:t>
            </w:r>
          </w:p>
        </w:tc>
        <w:tc>
          <w:tcPr>
            <w:tcW w:type="dxa" w:w="19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pStyle w:val="Тексттаблицы"/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lang w:val="ru-RU"/>
              </w:rPr>
              <w:t>5</w:t>
            </w:r>
          </w:p>
        </w:tc>
      </w:tr>
      <w:tr>
        <w:trPr>
          <w:cantSplit/>
        </w:trPr>
        <w:tc>
          <w:tcPr>
            <w:tcW w:type="dxa" w:w="464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pStyle w:val="Тексттаблицы"/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lang w:val="ru-RU"/>
              </w:rPr>
              <w:t>Динамические цены</w:t>
            </w:r>
          </w:p>
        </w:tc>
        <w:tc>
          <w:tcPr>
            <w:tcW w:type="dxa" w:w="19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pStyle w:val="Тексттаблицы"/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lang w:val="ru-RU"/>
              </w:rPr>
              <w:t>3</w:t>
            </w:r>
          </w:p>
        </w:tc>
        <w:tc>
          <w:tcPr>
            <w:tcW w:type="dxa" w:w="19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pStyle w:val="Тексттаблицы"/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lang w:val="ru-RU"/>
              </w:rPr>
              <w:t>5</w:t>
            </w:r>
          </w:p>
        </w:tc>
        <w:tc>
          <w:tcPr>
            <w:tcW w:type="dxa" w:w="19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pStyle w:val="Тексттаблицы"/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lang w:val="ru-RU"/>
              </w:rPr>
              <w:t>3</w:t>
            </w:r>
          </w:p>
        </w:tc>
        <w:tc>
          <w:tcPr>
            <w:tcW w:type="dxa" w:w="19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pStyle w:val="Тексттаблицы"/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lang w:val="ru-RU"/>
              </w:rPr>
              <w:t>2</w:t>
            </w:r>
          </w:p>
        </w:tc>
        <w:tc>
          <w:tcPr>
            <w:tcW w:type="dxa" w:w="19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pStyle w:val="Тексттаблицы"/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lang w:val="ru-RU"/>
              </w:rPr>
              <w:t>5</w:t>
            </w:r>
          </w:p>
        </w:tc>
      </w:tr>
      <w:tr>
        <w:trPr>
          <w:cantSplit/>
        </w:trPr>
        <w:tc>
          <w:tcPr>
            <w:tcW w:type="dxa" w:w="464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pStyle w:val="Тексттаблицы"/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lang w:val="ru-RU"/>
              </w:rPr>
              <w:t>Массовая замена</w:t>
            </w:r>
          </w:p>
        </w:tc>
        <w:tc>
          <w:tcPr>
            <w:tcW w:type="dxa" w:w="19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pStyle w:val="Тексттаблицы"/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lang w:val="ru-RU"/>
              </w:rPr>
              <w:t>2</w:t>
            </w:r>
          </w:p>
        </w:tc>
        <w:tc>
          <w:tcPr>
            <w:tcW w:type="dxa" w:w="19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pStyle w:val="Тексттаблицы"/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lang w:val="ru-RU"/>
              </w:rPr>
              <w:t>3</w:t>
            </w:r>
          </w:p>
        </w:tc>
        <w:tc>
          <w:tcPr>
            <w:tcW w:type="dxa" w:w="19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pStyle w:val="Тексттаблицы"/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lang w:val="ru-RU"/>
              </w:rPr>
              <w:t>4</w:t>
            </w:r>
          </w:p>
        </w:tc>
        <w:tc>
          <w:tcPr>
            <w:tcW w:type="dxa" w:w="19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pStyle w:val="Тексттаблицы"/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lang w:val="ru-RU"/>
              </w:rPr>
              <w:t>4</w:t>
            </w:r>
          </w:p>
        </w:tc>
        <w:tc>
          <w:tcPr>
            <w:tcW w:type="dxa" w:w="19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pStyle w:val="Тексттаблицы"/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lang w:val="ru-RU"/>
              </w:rPr>
              <w:t>5</w:t>
            </w:r>
          </w:p>
        </w:tc>
      </w:tr>
      <w:tr>
        <w:trPr>
          <w:cantSplit/>
        </w:trPr>
        <w:tc>
          <w:tcPr>
            <w:tcW w:type="dxa" w:w="464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pStyle w:val="Тексттаблицы"/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lang w:val="ru-RU"/>
              </w:rPr>
              <w:t>Изображения и контент</w:t>
            </w:r>
          </w:p>
        </w:tc>
        <w:tc>
          <w:tcPr>
            <w:tcW w:type="dxa" w:w="19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pStyle w:val="Тексттаблицы"/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lang w:val="ru-RU"/>
              </w:rPr>
              <w:t>5</w:t>
            </w:r>
          </w:p>
        </w:tc>
        <w:tc>
          <w:tcPr>
            <w:tcW w:type="dxa" w:w="19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pStyle w:val="Тексттаблицы"/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lang w:val="ru-RU"/>
              </w:rPr>
              <w:t>2</w:t>
            </w:r>
          </w:p>
        </w:tc>
        <w:tc>
          <w:tcPr>
            <w:tcW w:type="dxa" w:w="19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pStyle w:val="Тексттаблицы"/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lang w:val="ru-RU"/>
              </w:rPr>
              <w:t>5</w:t>
            </w:r>
          </w:p>
        </w:tc>
        <w:tc>
          <w:tcPr>
            <w:tcW w:type="dxa" w:w="19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pStyle w:val="Тексттаблицы"/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lang w:val="ru-RU"/>
              </w:rPr>
              <w:t>5</w:t>
            </w:r>
          </w:p>
        </w:tc>
        <w:tc>
          <w:tcPr>
            <w:tcW w:type="dxa" w:w="19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pStyle w:val="Тексттаблицы"/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lang w:val="ru-RU"/>
              </w:rPr>
              <w:t>5</w:t>
            </w:r>
          </w:p>
        </w:tc>
      </w:tr>
      <w:tr>
        <w:trPr>
          <w:cantSplit/>
        </w:trPr>
        <w:tc>
          <w:tcPr>
            <w:tcW w:type="dxa" w:w="464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pStyle w:val="Тексттаблицы"/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lang w:val="ru-RU"/>
              </w:rPr>
              <w:t>Публикация в Ozon</w:t>
            </w:r>
          </w:p>
        </w:tc>
        <w:tc>
          <w:tcPr>
            <w:tcW w:type="dxa" w:w="19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pStyle w:val="Тексттаблицы"/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lang w:val="ru-RU"/>
              </w:rPr>
              <w:t>5</w:t>
            </w:r>
          </w:p>
        </w:tc>
        <w:tc>
          <w:tcPr>
            <w:tcW w:type="dxa" w:w="19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pStyle w:val="Тексттаблицы"/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lang w:val="ru-RU"/>
              </w:rPr>
              <w:t>2</w:t>
            </w:r>
          </w:p>
        </w:tc>
        <w:tc>
          <w:tcPr>
            <w:tcW w:type="dxa" w:w="19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pStyle w:val="Тексттаблицы"/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lang w:val="ru-RU"/>
              </w:rPr>
              <w:t>2</w:t>
            </w:r>
          </w:p>
        </w:tc>
        <w:tc>
          <w:tcPr>
            <w:tcW w:type="dxa" w:w="19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pStyle w:val="Тексттаблицы"/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lang w:val="ru-RU"/>
              </w:rPr>
              <w:t>2</w:t>
            </w:r>
          </w:p>
        </w:tc>
        <w:tc>
          <w:tcPr>
            <w:tcW w:type="dxa" w:w="19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pStyle w:val="Тексттаблицы"/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lang w:val="ru-RU"/>
              </w:rPr>
              <w:t>5</w:t>
            </w:r>
          </w:p>
        </w:tc>
      </w:tr>
      <w:tr>
        <w:trPr>
          <w:cantSplit/>
        </w:trPr>
        <w:tc>
          <w:tcPr>
            <w:tcW w:type="dxa" w:w="464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pStyle w:val="Тексттаблицы"/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lang w:val="ru-RU"/>
              </w:rPr>
              <w:t>Аудит изменений</w:t>
            </w:r>
          </w:p>
        </w:tc>
        <w:tc>
          <w:tcPr>
            <w:tcW w:type="dxa" w:w="19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pStyle w:val="Тексттаблицы"/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lang w:val="ru-RU"/>
              </w:rPr>
              <w:t>2</w:t>
            </w:r>
          </w:p>
        </w:tc>
        <w:tc>
          <w:tcPr>
            <w:tcW w:type="dxa" w:w="19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pStyle w:val="Тексттаблицы"/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lang w:val="ru-RU"/>
              </w:rPr>
              <w:t>5</w:t>
            </w:r>
          </w:p>
        </w:tc>
        <w:tc>
          <w:tcPr>
            <w:tcW w:type="dxa" w:w="19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pStyle w:val="Тексттаблицы"/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lang w:val="ru-RU"/>
              </w:rPr>
              <w:t>5</w:t>
            </w:r>
          </w:p>
        </w:tc>
        <w:tc>
          <w:tcPr>
            <w:tcW w:type="dxa" w:w="19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pStyle w:val="Тексттаблицы"/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lang w:val="ru-RU"/>
              </w:rPr>
              <w:t>4</w:t>
            </w:r>
          </w:p>
        </w:tc>
        <w:tc>
          <w:tcPr>
            <w:tcW w:type="dxa" w:w="19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pStyle w:val="Тексттаблицы"/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lang w:val="ru-RU"/>
              </w:rPr>
              <w:t>5</w:t>
            </w:r>
          </w:p>
        </w:tc>
      </w:tr>
      <w:tr>
        <w:trPr>
          <w:cantSplit/>
        </w:trPr>
        <w:tc>
          <w:tcPr>
            <w:tcW w:type="dxa" w:w="464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pStyle w:val="Тексттаблицы"/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lang w:val="ru-RU"/>
              </w:rPr>
              <w:t>Расширяемость</w:t>
            </w:r>
          </w:p>
        </w:tc>
        <w:tc>
          <w:tcPr>
            <w:tcW w:type="dxa" w:w="19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pStyle w:val="Тексттаблицы"/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lang w:val="ru-RU"/>
              </w:rPr>
              <w:t>1</w:t>
            </w:r>
          </w:p>
        </w:tc>
        <w:tc>
          <w:tcPr>
            <w:tcW w:type="dxa" w:w="19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pStyle w:val="Тексттаблицы"/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lang w:val="ru-RU"/>
              </w:rPr>
              <w:t>4</w:t>
            </w:r>
          </w:p>
        </w:tc>
        <w:tc>
          <w:tcPr>
            <w:tcW w:type="dxa" w:w="19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pStyle w:val="Тексттаблицы"/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lang w:val="ru-RU"/>
              </w:rPr>
              <w:t>5</w:t>
            </w:r>
          </w:p>
        </w:tc>
        <w:tc>
          <w:tcPr>
            <w:tcW w:type="dxa" w:w="19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pStyle w:val="Тексттаблицы"/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lang w:val="ru-RU"/>
              </w:rPr>
              <w:t>4</w:t>
            </w:r>
          </w:p>
        </w:tc>
        <w:tc>
          <w:tcPr>
            <w:tcW w:type="dxa" w:w="19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pStyle w:val="Тексттаблицы"/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lang w:val="ru-RU"/>
              </w:rPr>
              <w:t>5</w:t>
            </w:r>
          </w:p>
        </w:tc>
      </w:tr>
      <w:tr>
        <w:trPr>
          <w:cantSplit/>
        </w:trPr>
        <w:tc>
          <w:tcPr>
            <w:tcW w:type="dxa" w:w="464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pStyle w:val="Тексттаблицы"/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lang w:val="ru-RU"/>
              </w:rPr>
              <w:t>Средняя оценка</w:t>
            </w:r>
          </w:p>
        </w:tc>
        <w:tc>
          <w:tcPr>
            <w:tcW w:type="dxa" w:w="19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pStyle w:val="Тексттаблицы"/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lang w:val="ru-RU"/>
              </w:rPr>
              <w:t>2.1</w:t>
            </w:r>
          </w:p>
        </w:tc>
        <w:tc>
          <w:tcPr>
            <w:tcW w:type="dxa" w:w="19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pStyle w:val="Тексттаблицы"/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lang w:val="ru-RU"/>
              </w:rPr>
              <w:t>3.7</w:t>
            </w:r>
          </w:p>
        </w:tc>
        <w:tc>
          <w:tcPr>
            <w:tcW w:type="dxa" w:w="19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pStyle w:val="Тексттаблицы"/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lang w:val="ru-RU"/>
              </w:rPr>
              <w:t>3.7</w:t>
            </w:r>
          </w:p>
        </w:tc>
        <w:tc>
          <w:tcPr>
            <w:tcW w:type="dxa" w:w="19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pStyle w:val="Тексттаблицы"/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lang w:val="ru-RU"/>
              </w:rPr>
              <w:t>3.1</w:t>
            </w:r>
          </w:p>
        </w:tc>
        <w:tc>
          <w:tcPr>
            <w:tcW w:type="dxa" w:w="19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pStyle w:val="Тексттаблицы"/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lang w:val="ru-RU"/>
              </w:rPr>
              <w:t>5.0</w:t>
            </w:r>
          </w:p>
        </w:tc>
      </w:tr>
    </w:tbl>
    <w:p>
      <w:pPr>
        <w:keepNext/>
        <w:keepLines/>
        <w:pageBreakBefore w:val="0"/>
        <w:widowControl/>
        <w:spacing w:line="240" w:lineRule="auto" w:before="120" w:after="0"/>
        <w:ind w:left="0" w:right="0" w:firstLine="0"/>
        <w:jc w:val="center"/>
      </w:pPr>
      <w:r>
        <w:rPr>
          <w:rFonts w:ascii="Times New Roman" w:hAnsi="Times New Roman" w:eastAsia="Times New Roman" w:cs="Times New Roman"/>
          <w:color w:val="000000"/>
          <w:sz w:val="28"/>
        </w:rPr>
        <w:drawing>
          <wp:inline xmlns:a="http://schemas.openxmlformats.org/drawingml/2006/main" xmlns:pic="http://schemas.openxmlformats.org/drawingml/2006/picture">
            <wp:extent cx="8820000" cy="5512500"/>
            <wp:docPr id="6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alog_char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820000" cy="551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Подписьрисунка"/>
        <w:keepNext w:val="0"/>
        <w:keepLines/>
        <w:pageBreakBefore w:val="0"/>
        <w:widowControl/>
        <w:spacing w:before="60" w:after="120" w:line="240" w:lineRule="auto"/>
        <w:ind w:left="0" w:right="0"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Рисунок 4 – Средняя оценка применимости программных решений</w:t>
      </w:r>
    </w:p>
    <w:p>
      <w:pPr>
        <w:keepNext w:val="0"/>
        <w:keepLines w:val="0"/>
        <w:pageBreakBefore w:val="0"/>
        <w:widowControl/>
        <w:spacing w:line="20" w:lineRule="exact" w:before="0" w:after="0"/>
        <w:ind w:left="0" w:right="0" w:firstLine="0"/>
        <w:jc w:val="left"/>
        <w:sectPr>
          <w:footerReference w:type="default" r:id="rId9"/>
          <w:headerReference w:type="default" r:id="rId22"/>
          <w:headerReference w:type="first" r:id="rId23"/>
          <w:cols w:space="720"/>
          <w:docGrid w:linePitch="360"/>
          <w:type w:val="nextPage"/>
          <w:pgSz w:w="16838" w:h="11906" w:orient="landscape"/>
          <w:pgMar w:top="1134" w:bottom="1134" w:left="1701" w:right="850" w:header="709" w:footer="709" w:gutter="0"/>
        </w:sectPr>
      </w:pPr>
    </w:p>
    <w:p>
      <w:pPr>
        <w:pStyle w:val="Heading2"/>
        <w:keepNext/>
        <w:keepLines/>
        <w:pageBreakBefore w:val="0"/>
        <w:widowControl/>
        <w:spacing w:line="360" w:lineRule="auto" w:before="240" w:after="120"/>
        <w:ind w:left="0" w:right="0"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  <w:lang w:val="ru-RU"/>
        </w:rPr>
        <w:t>8.2 Результаты сравнения</w:t>
      </w:r>
    </w:p>
    <w:p>
      <w:pPr>
        <w:pStyle w:val="Основнойтекстотчёта"/>
        <w:keepNext w:val="0"/>
        <w:keepLines w:val="0"/>
        <w:pageBreakBefore w:val="0"/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  <w:lang w:val="ru-RU"/>
        </w:rPr>
        <w:t>Ozon Seller хорошо решает публикацию и управление контентом внутри площадки, но не предназначен для хранения технических BOM и межкомпонентных правил. 1С:ERP поддерживает номенклатуру, сопоставление позиций и цены поставщиков, однако предметные правила аппаратной совместимости и генерацию карточки Ozon потребуется разрабатывать отдельно [3, 4].</w:t>
      </w:r>
    </w:p>
    <w:p>
      <w:pPr>
        <w:pStyle w:val="Основнойтекстотчёта"/>
        <w:keepNext w:val="0"/>
        <w:keepLines w:val="0"/>
        <w:pageBreakBefore w:val="0"/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  <w:lang w:val="ru-RU"/>
        </w:rPr>
        <w:t>Pimcore и Akeneo предоставляют развитые средства управления товарными данными, вариантами, атрибутами, изображениями и процессами согласования. При этом модель компьютерной BOM, проверка совместимости и логика массовой замены требуют предметного расширения [5, 6].</w:t>
      </w:r>
    </w:p>
    <w:p>
      <w:pPr>
        <w:pStyle w:val="Основнойтекстотчёта"/>
        <w:keepNext w:val="0"/>
        <w:keepLines w:val="0"/>
        <w:pageBreakBefore w:val="0"/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  <w:lang w:val="ru-RU"/>
        </w:rPr>
        <w:t>Проектируемая ИС получает наибольшую оценку применимости, поскольку её границы изначально соответствуют процессу ООО «Юкомс». Результат сравнения не означает необходимость полностью отказаться от готовых платформ: отдельные решения могут использоваться как источник архитектурных подходов или интеграционный компонент.</w:t>
      </w:r>
    </w:p>
    <w:p>
      <w:pPr>
        <w:pStyle w:val="Heading1"/>
        <w:keepNext/>
        <w:keepLines/>
        <w:pageBreakBefore w:val="0"/>
        <w:widowControl/>
        <w:spacing w:line="360" w:lineRule="auto" w:before="240" w:after="120"/>
        <w:ind w:left="0" w:right="0" w:firstLine="0"/>
        <w:jc w:val="center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  <w:lang w:val="ru-RU"/>
        </w:rPr>
        <w:t>9 Выводы</w:t>
      </w:r>
    </w:p>
    <w:p>
      <w:pPr>
        <w:pStyle w:val="Основнойтекстотчёта"/>
        <w:keepNext w:val="0"/>
        <w:keepLines w:val="0"/>
        <w:pageBreakBefore w:val="0"/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  <w:lang w:val="ru-RU"/>
        </w:rPr>
        <w:t>В рамках практического занятия построены модели AS IS в нотациях IDEF0 и BPMN 2.0. Анализ показал, что ключевые потери процесса связаны с раздельным ведением взаимозависимых данных, ручной проверкой совместимости и повторной обработкой изменений.</w:t>
      </w:r>
    </w:p>
    <w:p>
      <w:pPr>
        <w:pStyle w:val="Основнойтекстотчёта"/>
        <w:keepNext w:val="0"/>
        <w:keepLines w:val="0"/>
        <w:pageBreakBefore w:val="0"/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  <w:lang w:val="ru-RU"/>
        </w:rPr>
        <w:t>Сформированы 22 функциональных и 12 измеримых нефункциональных требований. Сравнение четырёх программных аналогов подтвердило целесообразность проектирования специализированной системы, объединяющей BOM, предложения поставщиков, правила совместимости и публикацию карточек в Ozon.</w:t>
      </w:r>
    </w:p>
    <w:p>
      <w:pPr>
        <w:pStyle w:val="Heading1"/>
        <w:keepNext/>
        <w:keepLines/>
        <w:pageBreakBefore w:val="0"/>
        <w:widowControl/>
        <w:spacing w:line="360" w:lineRule="auto" w:before="240" w:after="120"/>
        <w:ind w:left="0" w:right="0" w:firstLine="0"/>
        <w:jc w:val="center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  <w:lang w:val="ru-RU"/>
        </w:rPr>
        <w:t>СПИСОК ИСПОЛЬЗОВАННЫХ ИСТОЧНИКОВ</w:t>
      </w:r>
    </w:p>
    <w:p>
      <w:pPr>
        <w:pStyle w:val="ListNumber"/>
        <w:keepNext w:val="0"/>
        <w:keepLines w:val="0"/>
        <w:pageBreakBefore w:val="0"/>
        <w:widowControl/>
        <w:spacing w:before="0" w:after="0" w:line="360" w:lineRule="auto"/>
        <w:ind w:left="425" w:right="0" w:hanging="425"/>
        <w:jc w:val="both"/>
      </w:pPr>
      <w:r>
        <w:rPr>
          <w:rFonts w:ascii="Times New Roman" w:hAnsi="Times New Roman" w:eastAsia="Times New Roman" w:cs="Times New Roman"/>
          <w:color w:val="000000"/>
          <w:sz w:val="28"/>
          <w:lang w:val="ru-RU"/>
        </w:rPr>
        <w:t>Албахтин И.В. Реинжиниринг бизнес-процесса «Сопровождение заказов на поставку компьютерных систем» в ООО «Юкомс». Курсовая работа. Москва, 2026.</w:t>
      </w:r>
    </w:p>
    <w:p>
      <w:pPr>
        <w:pStyle w:val="ListNumber"/>
        <w:keepNext w:val="0"/>
        <w:keepLines w:val="0"/>
        <w:pageBreakBefore w:val="0"/>
        <w:widowControl/>
        <w:spacing w:before="0" w:after="0" w:line="360" w:lineRule="auto"/>
        <w:ind w:left="425" w:right="0" w:hanging="425"/>
        <w:jc w:val="both"/>
      </w:pPr>
      <w:r>
        <w:rPr>
          <w:rFonts w:ascii="Times New Roman" w:hAnsi="Times New Roman" w:eastAsia="Times New Roman" w:cs="Times New Roman"/>
          <w:color w:val="000000"/>
          <w:sz w:val="28"/>
          <w:lang w:val="ru-RU"/>
        </w:rPr>
        <w:t>Разработка обеспечивающих подсистем. Практическое занятие № 1. РТУ МИРЭА, 2026.</w:t>
      </w:r>
    </w:p>
    <w:p>
      <w:pPr>
        <w:pStyle w:val="ListNumber"/>
        <w:keepNext w:val="0"/>
        <w:keepLines w:val="0"/>
        <w:pageBreakBefore w:val="0"/>
        <w:widowControl/>
        <w:spacing w:before="0" w:after="0" w:line="360" w:lineRule="auto"/>
        <w:ind w:left="425" w:right="0" w:hanging="425"/>
        <w:jc w:val="both"/>
      </w:pPr>
      <w:r>
        <w:rPr>
          <w:rFonts w:ascii="Times New Roman" w:hAnsi="Times New Roman" w:eastAsia="Times New Roman" w:cs="Times New Roman"/>
          <w:color w:val="000000"/>
          <w:sz w:val="28"/>
          <w:lang w:val="ru-RU"/>
        </w:rPr>
        <w:t>Ozon Seller API. Документация для продавцов. URL: https://docs.ozon.ru/api/seller/ (дата обращения: 09.09.2026).</w:t>
      </w:r>
    </w:p>
    <w:p>
      <w:pPr>
        <w:pStyle w:val="ListNumber"/>
        <w:keepNext w:val="0"/>
        <w:keepLines w:val="0"/>
        <w:pageBreakBefore w:val="0"/>
        <w:widowControl/>
        <w:spacing w:before="0" w:after="0" w:line="360" w:lineRule="auto"/>
        <w:ind w:left="425" w:right="0" w:hanging="425"/>
        <w:jc w:val="both"/>
      </w:pPr>
      <w:r>
        <w:rPr>
          <w:rFonts w:ascii="Times New Roman" w:hAnsi="Times New Roman" w:eastAsia="Times New Roman" w:cs="Times New Roman"/>
          <w:color w:val="000000"/>
          <w:sz w:val="28"/>
          <w:lang w:val="ru-RU"/>
        </w:rPr>
        <w:t>1С:ERP. Управление закупками. URL: https://v8.1c.ru/erp/purchasing/ (дата обращения: 09.09.2026).</w:t>
      </w:r>
    </w:p>
    <w:p>
      <w:pPr>
        <w:pStyle w:val="ListNumber"/>
        <w:keepNext w:val="0"/>
        <w:keepLines w:val="0"/>
        <w:pageBreakBefore w:val="0"/>
        <w:widowControl/>
        <w:spacing w:before="0" w:after="0" w:line="360" w:lineRule="auto"/>
        <w:ind w:left="425" w:right="0" w:hanging="425"/>
        <w:jc w:val="both"/>
      </w:pPr>
      <w:r>
        <w:rPr>
          <w:rFonts w:ascii="Times New Roman" w:hAnsi="Times New Roman" w:eastAsia="Times New Roman" w:cs="Times New Roman"/>
          <w:color w:val="000000"/>
          <w:sz w:val="28"/>
          <w:lang w:val="ru-RU"/>
        </w:rPr>
        <w:t>Pimcore. Implementing Product Information Management. URL: https://docs.pimcore.com/platform/2025.4/ (раздел Best Practice; дата обращения: 09.09.2026).</w:t>
      </w:r>
    </w:p>
    <w:p>
      <w:pPr>
        <w:pStyle w:val="ListNumber"/>
        <w:keepNext w:val="0"/>
        <w:keepLines w:val="0"/>
        <w:pageBreakBefore w:val="0"/>
        <w:widowControl/>
        <w:spacing w:before="0" w:after="0" w:line="360" w:lineRule="auto"/>
        <w:ind w:left="425" w:right="0" w:hanging="425"/>
        <w:jc w:val="both"/>
      </w:pPr>
      <w:r>
        <w:rPr>
          <w:rFonts w:ascii="Times New Roman" w:hAnsi="Times New Roman" w:eastAsia="Times New Roman" w:cs="Times New Roman"/>
          <w:color w:val="000000"/>
          <w:sz w:val="28"/>
          <w:lang w:val="ru-RU"/>
        </w:rPr>
        <w:t>Akeneo. Navigating a product page. URL: https://help.akeneo.com/using-the-product-page (дата обращения: 09.09.2026).</w:t>
      </w:r>
    </w:p>
    <w:p>
      <w:pPr>
        <w:pStyle w:val="ListNumber"/>
        <w:keepNext w:val="0"/>
        <w:keepLines w:val="0"/>
        <w:pageBreakBefore w:val="0"/>
        <w:widowControl/>
        <w:spacing w:before="0" w:after="0" w:line="360" w:lineRule="auto"/>
        <w:ind w:left="425" w:right="0" w:hanging="425"/>
        <w:jc w:val="both"/>
      </w:pPr>
      <w:r>
        <w:rPr>
          <w:rFonts w:ascii="Times New Roman" w:hAnsi="Times New Roman" w:eastAsia="Times New Roman" w:cs="Times New Roman"/>
          <w:color w:val="000000"/>
          <w:sz w:val="28"/>
          <w:lang w:val="ru-RU"/>
        </w:rPr>
        <w:t>Официальный сайт ООО «Юкомс». URL: https://ucoms.ru/ (дата обращения: 09.09.2026).</w:t>
      </w:r>
    </w:p>
    <w:sectPr>
      <w:footerReference w:type="default" r:id="rId9"/>
      <w:headerReference w:type="default" r:id="rId22"/>
      <w:headerReference w:type="first" r:id="rId23"/>
      <w:cols w:space="720"/>
      <w:docGrid w:linePitch="360"/>
      <w:type w:val="nextPage"/>
      <w:pgSz w:w="11906" w:h="16838" w:orient="portrait"/>
      <w:pgMar w:top="1134" w:bottom="1134" w:left="1701" w:right="850" w:header="709" w:footer="709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keepLines w:val="0"/>
      <w:pageBreakBefore w:val="0"/>
      <w:widowControl/>
      <w:spacing w:line="240" w:lineRule="auto" w:before="0" w:after="0"/>
      <w:ind w:left="0" w:right="0" w:firstLine="0"/>
      <w:jc w:val="center"/>
    </w:pPr>
    <w:fldSimple w:instr=" PAGE ">
      <w:r>
        <w:rPr>
          <w:rFonts w:ascii="Times New Roman" w:hAnsi="Times New Roman"/>
          <w:sz w:val="24"/>
        </w:rPr>
        <w:t>2</w:t>
      </w:r>
    </w:fldSimple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</w:p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</w:p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</w:p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</w:pPr>
    <w:rPr>
      <w:rFonts w:ascii="Times New Roman" w:hAnsi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/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/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0" w:line="360" w:lineRule="auto"/>
      <w:ind w:firstLine="0" w:left="0" w:right="0"/>
      <w:jc w:val="center"/>
      <w:outlineLvl w:val="0"/>
    </w:pPr>
    <w:rPr>
      <w:rFonts w:asciiTheme="majorHAnsi" w:eastAsiaTheme="majorEastAsia" w:hAnsiTheme="majorHAnsi" w:cstheme="majorBidi" w:ascii="Times New Roman" w:hAnsi="Times New Roman"/>
      <w:b/>
      <w:bCs/>
      <w:i w:val="0"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0" w:line="360" w:lineRule="auto"/>
      <w:ind w:firstLine="0" w:left="0" w:right="0"/>
      <w:jc w:val="left"/>
      <w:outlineLvl w:val="1"/>
    </w:pPr>
    <w:rPr>
      <w:rFonts w:asciiTheme="majorHAnsi" w:eastAsiaTheme="majorEastAsia" w:hAnsiTheme="majorHAnsi" w:cstheme="majorBidi" w:ascii="Times New Roman" w:hAnsi="Times New Roman"/>
      <w:b/>
      <w:bCs/>
      <w:i w:val="0"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Times New Roman" w:hAnsi="Times New Roman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Times New Roman" w:hAnsi="Times New Roman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Times New Roman" w:hAnsi="Times New Roman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Times New Roman" w:hAnsi="Times New Roman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Times New Roman" w:hAnsi="Times New Roman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Times New Roman" w:hAnsi="Times New Roman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Times New Roman" w:hAnsi="Times New Roman"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240"/>
      <w:contextualSpacing/>
    </w:pPr>
    <w:rPr>
      <w:rFonts w:asciiTheme="majorHAnsi" w:eastAsiaTheme="majorEastAsia" w:hAnsiTheme="majorHAnsi" w:cstheme="majorBidi" w:ascii="Times New Roman" w:hAnsi="Times New Roman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Times New Roman" w:hAnsi="Times New Roman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Times New Roman" w:hAnsi="Times New Roman"/>
      <w:color w:val="00000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Times New Roman" w:hAnsi="Times New Roman"/>
      <w:color w:val="00000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Times New Roman" w:hAnsi="Times New Roman"/>
      <w:color w:val="00000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Times New Roman" w:hAnsi="Times New Roman"/>
      <w:color w:val="000000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Times New Roman" w:hAnsi="Times New Roman"/>
      <w:color w:val="000000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Times New Roman" w:hAnsi="Times New Roman"/>
      <w:color w:val="000000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Times New Roman" w:hAnsi="Times New Roman"/>
      <w:color w:val="000000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Times New Roman" w:hAnsi="Times New Roman"/>
      <w:color w:val="00000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Times New Roman" w:hAnsi="Times New Roman"/>
      <w:color w:val="00000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Times New Roman" w:hAnsi="Times New Roman"/>
      <w:color w:val="00000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Times New Roman" w:hAnsi="Times New Roman"/>
      <w:color w:val="00000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Times New Roman" w:hAnsi="Times New Roman"/>
      <w:color w:val="000000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Times New Roman" w:hAnsi="Times New Roman"/>
      <w:color w:val="000000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Times New Roman" w:hAnsi="Times New Roman"/>
      <w:color w:val="000000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color w:val="000000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Times New Roman" w:hAnsi="Times New Roman"/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Times New Roman" w:hAnsi="Times New Roman"/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Times New Roman" w:hAnsi="Times New Roman"/>
      <w:color w:val="00000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Основнойтекстотчёта">
    <w:name w:val="Основной текст отчёта"/>
    <w:pPr>
      <w:spacing w:line="360" w:lineRule="auto" w:before="0" w:after="0"/>
      <w:ind w:firstLine="709" w:left="0" w:right="0"/>
      <w:jc w:val="both"/>
    </w:pPr>
    <w:rPr>
      <w:rFonts w:ascii="Times New Roman" w:hAnsi="Times New Roman"/>
      <w:b w:val="0"/>
      <w:i w:val="0"/>
      <w:sz w:val="28"/>
    </w:rPr>
  </w:style>
  <w:style w:type="paragraph" w:customStyle="1" w:styleId="Подписьтаблицы">
    <w:name w:val="Подпись таблицы"/>
    <w:pPr>
      <w:spacing w:line="240" w:lineRule="auto" w:before="0" w:after="0"/>
      <w:ind w:firstLine="0" w:left="0" w:right="0"/>
      <w:jc w:val="left"/>
    </w:pPr>
    <w:rPr>
      <w:rFonts w:ascii="Times New Roman" w:hAnsi="Times New Roman"/>
      <w:b w:val="0"/>
      <w:i/>
      <w:sz w:val="24"/>
    </w:rPr>
  </w:style>
  <w:style w:type="paragraph" w:customStyle="1" w:styleId="Подписьрисунка">
    <w:name w:val="Подпись рисунка"/>
    <w:pPr>
      <w:spacing w:line="240" w:lineRule="auto" w:before="0" w:after="0"/>
      <w:ind w:firstLine="0" w:left="0" w:right="0"/>
      <w:jc w:val="center"/>
    </w:pPr>
    <w:rPr>
      <w:rFonts w:ascii="Times New Roman" w:hAnsi="Times New Roman"/>
      <w:b w:val="0"/>
      <w:i w:val="0"/>
      <w:sz w:val="28"/>
    </w:rPr>
  </w:style>
  <w:style w:type="paragraph" w:customStyle="1" w:styleId="Тексттаблицы">
    <w:name w:val="Текст таблицы"/>
    <w:pPr>
      <w:spacing w:line="240" w:lineRule="auto" w:before="0" w:after="0"/>
      <w:ind w:firstLine="0" w:left="0" w:right="0"/>
      <w:jc w:val="left"/>
    </w:pPr>
    <w:rPr>
      <w:rFonts w:ascii="Times New Roman" w:hAnsi="Times New Roman"/>
      <w:b w:val="0"/>
      <w:i w:val="0"/>
      <w:sz w:val="24"/>
    </w:rPr>
  </w:style>
  <w:style w:type="paragraph" w:customStyle="1" w:styleId="TOC1">
    <w:name w:val="TOC 1"/>
    <w:pPr>
      <w:spacing w:line="240" w:lineRule="auto" w:before="0" w:after="120"/>
      <w:ind w:firstLine="0" w:left="0"/>
    </w:pPr>
    <w:rPr>
      <w:rFonts w:ascii="Times New Roman" w:hAnsi="Times New Roman"/>
      <w:b w:val="0"/>
      <w:sz w:val="28"/>
    </w:rPr>
  </w:style>
  <w:style w:type="paragraph" w:customStyle="1" w:styleId="TOC2">
    <w:name w:val="TOC 2"/>
    <w:pPr>
      <w:spacing w:line="240" w:lineRule="auto" w:before="0" w:after="120"/>
      <w:ind w:firstLine="0" w:left="397"/>
    </w:pPr>
    <w:rPr>
      <w:rFonts w:ascii="Times New Roman" w:hAnsi="Times New Roman"/>
      <w:b w:val="0"/>
      <w:sz w:val="2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image" Target="media/image2.png"/><Relationship Id="rId13" Type="http://schemas.openxmlformats.org/officeDocument/2006/relationships/footer" Target="footer3.xml"/><Relationship Id="rId14" Type="http://schemas.openxmlformats.org/officeDocument/2006/relationships/footer" Target="footer4.xml"/><Relationship Id="rId15" Type="http://schemas.openxmlformats.org/officeDocument/2006/relationships/image" Target="media/image3.png"/><Relationship Id="rId16" Type="http://schemas.openxmlformats.org/officeDocument/2006/relationships/footer" Target="footer5.xml"/><Relationship Id="rId17" Type="http://schemas.openxmlformats.org/officeDocument/2006/relationships/footer" Target="footer6.xml"/><Relationship Id="rId18" Type="http://schemas.openxmlformats.org/officeDocument/2006/relationships/image" Target="media/image4.png"/><Relationship Id="rId19" Type="http://schemas.openxmlformats.org/officeDocument/2006/relationships/footer" Target="footer7.xml"/><Relationship Id="rId20" Type="http://schemas.openxmlformats.org/officeDocument/2006/relationships/image" Target="media/image5.png"/><Relationship Id="rId21" Type="http://schemas.openxmlformats.org/officeDocument/2006/relationships/image" Target="media/image6.png"/><Relationship Id="rId22" Type="http://schemas.openxmlformats.org/officeDocument/2006/relationships/header" Target="header1.xml"/><Relationship Id="rId23" Type="http://schemas.openxmlformats.org/officeDocument/2006/relationships/header" Target="header2.xml"/><Relationship Id="rId24" Type="http://schemas.openxmlformats.org/officeDocument/2006/relationships/footer" Target="footer8.xml"/><Relationship Id="rId2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Единый отчёт по дисциплине РОП</dc:title>
  <dc:subject>Проектирование информационной системы поддержки бизнес-процесса формирования и актуализации карточек товаров компьютерных систем на примере ООО «Юкомс»</dc:subject>
  <dc:creator>Албахтин Илья Владиславович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