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  <w:jc w:val="center"/>
      </w:pPr>
      <w:r>
        <w:rPr>
          <w:rFonts w:ascii="Times New Roman" w:hAnsi="Times New Roman" w:eastAsia="Times New Roman"/>
          <w:color w:val="000000"/>
          <w:sz w:val="24"/>
          <w:lang w:val="ru-RU"/>
        </w:rPr>
        <w:t>МИНОБРНАУКИ РОССИИ</w:t>
      </w:r>
    </w:p>
    <w:p>
      <w:pPr>
        <w:keepNext w:val="0"/>
        <w:spacing w:before="0" w:after="20" w:line="240" w:lineRule="auto"/>
        <w:jc w:val="center"/>
      </w:pPr>
      <w:r>
        <w:rPr>
          <w:rFonts w:ascii="Times New Roman" w:hAnsi="Times New Roman" w:eastAsia="Times New Roman"/>
          <w:color w:val="000000"/>
          <w:sz w:val="24"/>
          <w:lang w:val="ru-RU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keepNext w:val="0"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6"/>
          <w:lang w:val="ru-RU"/>
        </w:rPr>
        <w:t>«МИРЭА - Российский технологический университет»</w:t>
      </w:r>
    </w:p>
    <w:p>
      <w:pPr>
        <w:keepNext w:val="0"/>
        <w:spacing w:before="0" w:after="2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РТУ МИРЭА</w:t>
      </w:r>
    </w:p>
    <w:p>
      <w:pPr>
        <w:keepNext w:val="0"/>
        <w:spacing w:before="0" w:after="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6"/>
          <w:lang w:val="ru-RU"/>
        </w:rPr>
        <w:t>Институт информационных технологий</w:t>
      </w:r>
    </w:p>
    <w:p>
      <w:pPr>
        <w:keepNext w:val="0"/>
        <w:spacing w:before="0" w:after="5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6"/>
          <w:lang w:val="ru-RU"/>
        </w:rPr>
        <w:t>Кафедра квантовых информационных технологий, практической и прикладной информатики</w:t>
      </w:r>
    </w:p>
    <w:p>
      <w:pPr>
        <w:keepNext w:val="0"/>
        <w:spacing w:before="0" w:after="10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  <w:lang w:val="ru-RU"/>
        </w:rPr>
        <w:t>ЕДИНЫЙ ОТЧЁТ ПО ПРАКТИЧЕСКИМ ЗАНЯТИЯМ</w:t>
      </w:r>
    </w:p>
    <w:p>
      <w:pPr>
        <w:keepNext w:val="0"/>
        <w:spacing w:before="0" w:after="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Практическое занятие № 1</w:t>
      </w:r>
    </w:p>
    <w:p>
      <w:pPr>
        <w:keepNext w:val="0"/>
        <w:spacing w:before="0" w:after="440" w:line="240" w:lineRule="auto"/>
        <w:jc w:val="center"/>
      </w:pPr>
      <w:r>
        <w:rPr>
          <w:rFonts w:ascii="Times New Roman" w:hAnsi="Times New Roman" w:eastAsia="Times New Roman"/>
          <w:color w:val="000000"/>
          <w:sz w:val="26"/>
          <w:lang w:val="ru-RU"/>
        </w:rPr>
        <w:t>по дисциплине «Разработка обеспечивающих подсистем»</w:t>
      </w:r>
    </w:p>
    <w:p>
      <w:pPr>
        <w:keepNext w:val="0"/>
        <w:spacing w:before="0" w:after="20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6"/>
          <w:lang w:val="ru-RU"/>
        </w:rPr>
        <w:t xml:space="preserve">Тема проекта: </w:t>
      </w:r>
      <w:r>
        <w:rPr>
          <w:rFonts w:ascii="Times New Roman" w:hAnsi="Times New Roman" w:eastAsia="Times New Roman"/>
          <w:color w:val="000000"/>
          <w:sz w:val="26"/>
          <w:lang w:val="ru-RU"/>
        </w:rPr>
        <w:t>«Проектирование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«Юкомс»»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  <w:lang w:val="ru-RU"/>
              </w:rPr>
              <w:t>Студент группы ИНБО-12-23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  <w:lang w:val="ru-RU"/>
              </w:rPr>
              <w:t>Албахтин Илья Владиславович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  <w:lang w:val="ru-RU"/>
              </w:rPr>
              <w:t>Преподаватель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  <w:lang w:val="ru-RU"/>
              </w:rPr>
              <w:t>Кириллина Ю.В., Трушин С.М.</w:t>
            </w:r>
          </w:p>
        </w:tc>
      </w:tr>
    </w:tbl>
    <w:p/>
    <w:p/>
    <w:p/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/>
          <w:color w:val="000000"/>
          <w:sz w:val="24"/>
          <w:lang w:val="ru-RU"/>
        </w:rPr>
        <w:t>Москва 2026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ПРАКТИЧЕСКОЕ ЗАНЯТИЕ № 1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1 Цель занятия и постановка задачи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Цель занятия - проанализировать текущее состояние бизнес-процесса, выявить проблемы его исполнения и сформировать функциональные и нефункциональные требования к проектируемой информационной системе.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Тема проекта: «Проектирование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«Юкомс»».</w:t>
      </w:r>
    </w:p>
    <w:p>
      <w:pPr>
        <w:keepNext w:val="0"/>
        <w:spacing w:before="0" w:after="40" w:line="240" w:lineRule="auto"/>
        <w:ind w:left="567" w:hanging="567"/>
        <w:jc w:val="left"/>
      </w:pPr>
      <w:r>
        <w:rPr>
          <w:rFonts w:ascii="Times New Roman" w:hAnsi="Times New Roman" w:eastAsia="Times New Roman"/>
          <w:color w:val="000000"/>
          <w:sz w:val="21"/>
          <w:lang w:val="ru-RU"/>
        </w:rPr>
        <w:t>1. Построить модель текущего состояния процесса AS IS в нотациях IDEF0 и BPMN 2.0.</w:t>
      </w:r>
    </w:p>
    <w:p>
      <w:pPr>
        <w:keepNext w:val="0"/>
        <w:spacing w:before="0" w:after="40" w:line="240" w:lineRule="auto"/>
        <w:ind w:left="567" w:hanging="567"/>
        <w:jc w:val="left"/>
      </w:pPr>
      <w:r>
        <w:rPr>
          <w:rFonts w:ascii="Times New Roman" w:hAnsi="Times New Roman" w:eastAsia="Times New Roman"/>
          <w:color w:val="000000"/>
          <w:sz w:val="21"/>
          <w:lang w:val="ru-RU"/>
        </w:rPr>
        <w:t>2. Сформировать таблицы функциональных и нефункциональных требований.</w:t>
      </w:r>
    </w:p>
    <w:p>
      <w:pPr>
        <w:keepNext w:val="0"/>
        <w:spacing w:before="0" w:after="40" w:line="240" w:lineRule="auto"/>
        <w:ind w:left="567" w:hanging="567"/>
        <w:jc w:val="left"/>
      </w:pPr>
      <w:r>
        <w:rPr>
          <w:rFonts w:ascii="Times New Roman" w:hAnsi="Times New Roman" w:eastAsia="Times New Roman"/>
          <w:color w:val="000000"/>
          <w:sz w:val="21"/>
          <w:lang w:val="ru-RU"/>
        </w:rPr>
        <w:t>3. Выполнить сравнительный анализ программных аналогов и представить результаты в таблице и на диаграмме.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2 Характеристика бизнес-процесса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Рассматриваемый процесс обеспечивает подготовку и актуализацию товарного предложения компьютерной системы. В академической модели AS IS предполагается, что сведения о корпусе, совместимости, поставщицких моделях, ценах, весе и изображениях обрабатываются в разрозненных инструментах. Менеджер маркетплейсов координирует процесс и вручную переносит итоговые значения в карточку Ozon.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Процесс начинается при появлении потребности создать новую карточку либо изменить существующую. Основной информационный объект - BOM, которая задаёт возможный состав компьютерной системы на базе корпуса. Процесс заканчивается публикацией или обновлением карточки либо фиксацией ошибки, требующей исправления.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Для согласованности с проектом ППОИС используются сущности: BOM, Карточка товара, Компонент, Характеристика, Правило совместимости, Товар поставщика, Предложение поставщика, Правило замены, Изображение и Публикация. Внешние интерфейсы представлены поставщиками PC4Games и ITPartner и API Ozon; статусы карточки: черновик, на проверке, готова к публикации, опубликована, требует актуализации и ошибка публикации.</w:t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Таблица 1 - Границы процесса AS 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/>
          <w:tblHeader w:val="true"/>
        </w:trPr>
        <w:tc>
          <w:tcPr>
            <w:tcW w:type="dxa" w:w="2551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  <w:lang w:val="ru-RU"/>
              </w:rPr>
              <w:t>Элемент</w:t>
            </w:r>
          </w:p>
        </w:tc>
        <w:tc>
          <w:tcPr>
            <w:tcW w:type="dxa" w:w="6520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  <w:lang w:val="ru-RU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Инициирующее событие</w:t>
            </w:r>
          </w:p>
        </w:tc>
        <w:tc>
          <w:tcPr>
            <w:tcW w:type="dxa" w:w="652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Принято решение создать или изменить товарное предложение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Завершающее событие</w:t>
            </w:r>
          </w:p>
        </w:tc>
        <w:tc>
          <w:tcPr>
            <w:tcW w:type="dxa" w:w="652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Ozon принял карточку или зарегистрирована ошибка публикации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Владелец процесса</w:t>
            </w:r>
          </w:p>
        </w:tc>
        <w:tc>
          <w:tcPr>
            <w:tcW w:type="dxa" w:w="652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Менеджер маркетплейсов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Исполнители</w:t>
            </w:r>
          </w:p>
        </w:tc>
        <w:tc>
          <w:tcPr>
            <w:tcW w:type="dxa" w:w="652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Менеджер маркетплейсов, технический специалист, склад, дизайнер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Поставщики данных</w:t>
            </w:r>
          </w:p>
        </w:tc>
        <w:tc>
          <w:tcPr>
            <w:tcW w:type="dxa" w:w="652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PC4Games, ITPartner, внутренний складской учёт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Потребитель результата</w:t>
            </w:r>
          </w:p>
        </w:tc>
        <w:tc>
          <w:tcPr>
            <w:tcW w:type="dxa" w:w="652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Ozon и потенциальный покупатель товарного предложения</w:t>
            </w:r>
          </w:p>
        </w:tc>
      </w:tr>
    </w:tbl>
    <w:p>
      <w:pPr>
        <w:spacing w:after="80"/>
      </w:pP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3 Модель AS IS в нотации IDEF0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3.1 Контекстная диаграмма A-0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Контекстная диаграмма показывает преобразование запроса и исходных данных в согласованную BOM, рассчитанные показатели, изображения и результат публикации карточки. Управления задают порядок работы, правила выбора, совместимости и расчётов, требования Ozon. Механизмы включают участников и используемые инструменты.</w:t>
      </w:r>
    </w:p>
    <w:p>
      <w:pPr>
        <w:keepNext/>
        <w:spacing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502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0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Рисунок 1 - Контекстная диаграмма IDEF0 A-0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3.2 Декомпозиция A0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На уровне A0 выделены пять функций. Их внешние интерфейсы согласованы с контекстом A-0 по кодам ICOM. Замечания по совместимости возвращаются из A3 в A2 для исправления конфигурации. Результат A5 — опубликованная или обновлённая карточка либо сведения об ошибке публикации. Модель AS IS выполнена в OmniNotation.</w:t>
      </w:r>
    </w:p>
    <w:p>
      <w:pPr>
        <w:sectPr>
          <w:footerReference w:type="default" r:id="rId9"/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keepNext/>
        <w:spacing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8856000" cy="54487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5448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Рисунок 2 - Декомпозиция процесса IDEF0 A0</w:t>
      </w:r>
    </w:p>
    <w:p>
      <w:pPr>
        <w:sectPr>
          <w:footerReference w:type="default" r:id="rId11"/>
          <w:pgSz w:w="15840" w:h="12240" w:orient="landscape"/>
          <w:pgMar w:top="850" w:right="850" w:bottom="850" w:left="850" w:header="720" w:footer="720" w:gutter="0"/>
          <w:cols w:space="720"/>
          <w:titlePg/>
          <w:docGrid w:linePitch="360"/>
        </w:sectPr>
      </w:pP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Таблица 2 - Описание функций IDEF0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tblHeader w:val="true"/>
        </w:trPr>
        <w:tc>
          <w:tcPr>
            <w:tcW w:type="dxa" w:w="113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  <w:lang w:val="ru-RU"/>
              </w:rPr>
              <w:t>Функция</w:t>
            </w:r>
          </w:p>
        </w:tc>
        <w:tc>
          <w:tcPr>
            <w:tcW w:type="dxa" w:w="4649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  <w:lang w:val="ru-RU"/>
              </w:rPr>
              <w:t>Содержание</w:t>
            </w:r>
          </w:p>
        </w:tc>
        <w:tc>
          <w:tcPr>
            <w:tcW w:type="dxa" w:w="3288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  <w:lang w:val="ru-RU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A1</w:t>
            </w:r>
          </w:p>
        </w:tc>
        <w:tc>
          <w:tcPr>
            <w:tcW w:type="dxa" w:w="464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Регистрация потребности в новой карточке или изменении</w:t>
            </w:r>
          </w:p>
        </w:tc>
        <w:tc>
          <w:tcPr>
            <w:tcW w:type="dxa" w:w="328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Запрос и выбранный корпус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A2</w:t>
            </w:r>
          </w:p>
        </w:tc>
        <w:tc>
          <w:tcPr>
            <w:tcW w:type="dxa" w:w="464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Создание состава BOM и ручное сопоставление позиций</w:t>
            </w:r>
          </w:p>
        </w:tc>
        <w:tc>
          <w:tcPr>
            <w:tcW w:type="dxa" w:w="328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Проект конфигурации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A3</w:t>
            </w:r>
          </w:p>
        </w:tc>
        <w:tc>
          <w:tcPr>
            <w:tcW w:type="dxa" w:w="464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Проверка ограничений корпуса и компонентов специалистом</w:t>
            </w:r>
          </w:p>
        </w:tc>
        <w:tc>
          <w:tcPr>
            <w:tcW w:type="dxa" w:w="328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Согласованная BOM или замечания для исправления конфигурации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A4</w:t>
            </w:r>
          </w:p>
        </w:tc>
        <w:tc>
          <w:tcPr>
            <w:tcW w:type="dxa" w:w="464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Сбор цен, расчёт цены и веса, подготовка изображений</w:t>
            </w:r>
          </w:p>
        </w:tc>
        <w:tc>
          <w:tcPr>
            <w:tcW w:type="dxa" w:w="328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Данные для карточки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A5</w:t>
            </w:r>
          </w:p>
        </w:tc>
        <w:tc>
          <w:tcPr>
            <w:tcW w:type="dxa" w:w="464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Перенос данных, проверка и публикация в Ozon</w:t>
            </w:r>
          </w:p>
        </w:tc>
        <w:tc>
          <w:tcPr>
            <w:tcW w:type="dxa" w:w="328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Опубликованная карточка или ошибка</w:t>
            </w:r>
          </w:p>
        </w:tc>
      </w:tr>
    </w:tbl>
    <w:p>
      <w:pPr>
        <w:spacing w:after="80"/>
      </w:pP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4 Модель AS IS в нотации BPMN 2.0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BPMN-модель распределяет действия между менеджером маркетплейсов, техническим специалистом, складом и поставщиками, дизайнером и Ozon. Шлюзы отражают проверку совместимости и результат проверки карточки площадкой.</w:t>
      </w:r>
    </w:p>
    <w:p>
      <w:pPr>
        <w:sectPr>
          <w:footerReference w:type="default" r:id="rId13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180000" cy="45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as_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Рисунок 3 - Модель текущего процесса в нотации BPMN 2.0</w:t>
      </w:r>
    </w:p>
    <w:p>
      <w:pPr>
        <w:sectPr>
          <w:footerReference w:type="default" r:id="rId14"/>
          <w:pgSz w:w="16838" w:h="11906" w:orient="landscape"/>
          <w:pgMar w:top="850" w:right="850" w:bottom="850" w:left="850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5 Проблемы текущего процесса</w:t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Таблица 3 - Выявленные проблемы AS 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tblHeader w:val="true"/>
        </w:trPr>
        <w:tc>
          <w:tcPr>
            <w:tcW w:type="dxa" w:w="79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Код</w:t>
            </w:r>
          </w:p>
        </w:tc>
        <w:tc>
          <w:tcPr>
            <w:tcW w:type="dxa" w:w="2268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Проблема</w:t>
            </w:r>
          </w:p>
        </w:tc>
        <w:tc>
          <w:tcPr>
            <w:tcW w:type="dxa" w:w="3005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Причина</w:t>
            </w:r>
          </w:p>
        </w:tc>
        <w:tc>
          <w:tcPr>
            <w:tcW w:type="dxa" w:w="3005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Последствие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P-01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Повторный ввод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Данные BOM, расчётов и Ozon хранятся раздельно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Ошибки и увеличение времени подготовки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P-02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Ручная проверка совместимости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Ограничения не формализованы в единой базе правил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Зависимость от опыта специалиста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P-03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Несогласованная массовая замена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Нет единого механизма анализа всех затронутых BOM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Карточки содержат разные версии состава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P-04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Устаревшая цена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Цена поставщика и карточка обновляются в разное время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Некорректное товарное предложение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P-05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Ошибки обязательных атрибутов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Полнота проверяется на позднем этапе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Отклонение публикации и возврат на исправление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P-06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Нет сквозного аудита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История изменений распределена между инструментами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Трудно установить причину расхождения</w:t>
            </w:r>
          </w:p>
        </w:tc>
      </w:tr>
    </w:tbl>
    <w:p>
      <w:pPr>
        <w:spacing w:after="80"/>
      </w:pP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Основная системная проблема заключается в отсутствии единого объекта изменения. BOM, точная поставщицкая модель и карточка Ozon связаны логически, но обновляются раздельно. Поэтому целевая ИС должна управлять зависимостями и повторно проверять все связанные данные после изменения.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6 Функциональные требования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Каждое требование описывает наблюдаемое поведение системы и может быть проверено через соответствующий сценарий использования.</w:t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Таблица 4 - 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tblHeader w:val="true"/>
        </w:trPr>
        <w:tc>
          <w:tcPr>
            <w:tcW w:type="dxa" w:w="850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Код</w:t>
            </w:r>
          </w:p>
        </w:tc>
        <w:tc>
          <w:tcPr>
            <w:tcW w:type="dxa" w:w="5329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Содержание требования</w:t>
            </w:r>
          </w:p>
        </w:tc>
        <w:tc>
          <w:tcPr>
            <w:tcW w:type="dxa" w:w="181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Роль</w:t>
            </w:r>
          </w:p>
        </w:tc>
        <w:tc>
          <w:tcPr>
            <w:tcW w:type="dxa" w:w="1077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FR-01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регистрировать запрос на создание или актуализацию карточки товара.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Менеджер маркетплейсов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FR-02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создавать BOM с привязкой к корпусу и уникальному коду конфигурации.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FR-03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добавлять в слоты BOM как группу характеристик, например B650, так и точную модель компонента.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FR-04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хранить правила совместимости компонентов и проверять конфигурацию при каждом изменении BOM.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FR-05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показывать нарушенное правило и компоненты, вызвавшие конфликт.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FR-06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сопоставлять внутренний компонент с товарами PC4Games и ITPartner.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FR-07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загружать цены, наличие и дату актуальности предложений поставщиков.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FR-08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выбирать применимое предложение поставщика по заданным правилам приоритета.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Средний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FR-09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рассчитывать себестоимость и цену карточки по актуальным предложениям и правилам наценки.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Менеджер маркетплейсов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FR-10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рассчитывать массу товара с упаковкой по составу BOM и правилам веса.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Средний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FR-11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находить все BOM, содержащие выбранный компонент или его точную поставщицкую позицию.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FR-12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выполнять массовую замену после предварительного показа затрагиваемых BOM и конфликтов.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FR-13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повторно проверять совместимость, цену, вес и полноту всех изменённых BOM.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FR-14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формировать изображения карточки по утверждённым шаблонам.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Дизайнер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Средний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FR-15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формировать название, описание и набор характеристик карточки из данных BOM.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FR-16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проверять заполнение обязательных атрибутов категории Ozon до публикации.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Менеджер маркетплейсов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FR-17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создавать или обновлять карточку товара через API Ozon.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Менеджер маркетплейсов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FR-18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сохранять идентификатор операции, ответ Ozon и итоговый статус публикации.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FR-19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помещать неуспешную внешнюю операцию в очередь повторной отправки.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FR-20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вести историю версий BOM, карточек, массовых замен и действий пользователей.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Администратор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FR-21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уведомлять ответственного о несовместимости, устаревшей цене или ошибке публикации.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Средний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FR-22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предоставлять поиск и фильтрацию BOM по корпусу, компоненту, поставщику и статусу карточки.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Все роли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Средний</w:t>
            </w:r>
          </w:p>
        </w:tc>
      </w:tr>
    </w:tbl>
    <w:p>
      <w:pPr>
        <w:spacing w:after="80"/>
      </w:pP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7 Нефункциональные требования</w:t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Таблица 5 - Нефункциональные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tblHeader w:val="true"/>
        </w:trPr>
        <w:tc>
          <w:tcPr>
            <w:tcW w:type="dxa" w:w="907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Код</w:t>
            </w:r>
          </w:p>
        </w:tc>
        <w:tc>
          <w:tcPr>
            <w:tcW w:type="dxa" w:w="2041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Категория</w:t>
            </w:r>
          </w:p>
        </w:tc>
        <w:tc>
          <w:tcPr>
            <w:tcW w:type="dxa" w:w="6123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Измеримое требование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NFR-01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Производительность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95% запросов основных форм должны завершаться не более чем за 2 секунды при 50 одновременных пользователях.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NFR-02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Пакетная обработка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Система должна обработать массовую замену и повторную проверку 1000 BOM не более чем за 5 минут.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NFR-03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Доступность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Коэффициент доступности приложения должен составлять не менее 99,5% за календарный месяц без учёта согласованных профилактических работ.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NFR-04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Восстановление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Полное резервное копирование выполняется ежедневно; RPO не превышает 24 часов, RTO - 4 часов.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NFR-05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Защита канала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Все пользовательские и интеграционные соединения должны использовать TLS версии 1.2 или новее.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NFR-06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Аутентификация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Пароли должны храниться в виде стойких хешей Argon2id с уникальной солью; исходные пароли не сохраняются.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NFR-07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Авторизация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Доступ к BOM, справочникам, публикации и массовой замене должен разграничиваться ролями и проверяться на сервере.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NFR-08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Аудит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Журнал изменения BOM, цен, правил и публикаций должен храниться не менее одного года и содержать пользователя, время и изменённые значения.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NFR-09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Совместимость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Веб-интерфейс должен работать в двух последних стабильных версиях Chrome, Edge и Firefox при ширине экрана от 1280 пикселей.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NFR-10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Интеграции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При недоступности внешнего API система должна сохранить операцию и выполнить до трёх повторных попыток без создания дубликатов.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NFR-11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Целостность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Система не должна переводить карточку в статус «готова к публикации» при нарушении правил совместимости или отсутствии обязательных данных.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NFR-12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Сопровождаемость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Правила совместимости, цены, веса и сопоставления должны изменяться через справочники без модификации программного кода.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8 Сравнительный анализ программных аналогов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8.1 Выбор аналогов и методика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Для сравнения выбраны Ozon Seller как целевая площадка управления карточками, 1С:ERP как система учёта номенклатуры и предложений поставщиков, а также PIM-платформы Pimcore и Akeneo. Оценка отражает применимость стандартных возможностей к предметной задаче ООО «Юкомс», а не общее качество продукта.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Используется шкала от 0 до 5: 0 - функция отсутствует; 1 - требуется практически самостоятельная реализация; 2 - доступна частично; 3 - реализуется настройкой или расширением; 4 - хорошо поддерживается; 5 - полностью соответствует требованию без существенного обходного решения.</w:t>
      </w:r>
    </w:p>
    <w:p>
      <w:pPr>
        <w:sectPr>
          <w:footerReference w:type="default" r:id="rId16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Таблица 6 - Экспертная оценка применимости аналогов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  <w:tblHeader w:val="true"/>
        </w:trPr>
        <w:tc>
          <w:tcPr>
            <w:tcW w:type="dxa" w:w="3402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Критерий</w:t>
            </w:r>
          </w:p>
        </w:tc>
        <w:tc>
          <w:tcPr>
            <w:tcW w:type="dxa" w:w="198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Ozon Seller</w:t>
            </w:r>
          </w:p>
        </w:tc>
        <w:tc>
          <w:tcPr>
            <w:tcW w:type="dxa" w:w="198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1С:ERP</w:t>
            </w:r>
          </w:p>
        </w:tc>
        <w:tc>
          <w:tcPr>
            <w:tcW w:type="dxa" w:w="198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Pimcore</w:t>
            </w:r>
          </w:p>
        </w:tc>
        <w:tc>
          <w:tcPr>
            <w:tcW w:type="dxa" w:w="198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Akeneo PIM</w:t>
            </w:r>
          </w:p>
        </w:tc>
        <w:tc>
          <w:tcPr>
            <w:tcW w:type="dxa" w:w="2268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Проектируемая ИС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BOM и конфигурации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0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Правила совместимости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0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1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Связь с товарами поставщиков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1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4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Динамические цены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Массовая замена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4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4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Изображения и контент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Публикация в Ozon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Аудит изменений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4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Расширяемость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1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4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4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Средняя оценка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2.1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3.7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3.7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3.1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5.0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820000" cy="55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5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Рисунок 4 - Средняя оценка применимости программных решений</w:t>
      </w:r>
    </w:p>
    <w:p>
      <w:pPr>
        <w:sectPr>
          <w:footerReference w:type="default" r:id="rId17"/>
          <w:pgSz w:w="16838" w:h="11906" w:orient="landscape"/>
          <w:pgMar w:top="850" w:right="850" w:bottom="850" w:left="850" w:header="720" w:footer="720" w:gutter="0"/>
          <w:cols w:space="720"/>
          <w:titlePg/>
          <w:docGrid w:linePitch="360"/>
        </w:sectPr>
      </w:pPr>
    </w:p>
    <w:p>
      <w:pPr>
        <w:pStyle w:val="Heading2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8.2 Результаты сравнения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Ozon Seller хорошо решает публикацию и управление контентом внутри площадки, но не предназначен для хранения технических BOM и межкомпонентных правил. 1С:ERP поддерживает номенклатуру, сопоставление позиций и цены поставщиков, однако предметные правила аппаратной совместимости и генерацию карточки Ozon потребуется разрабатывать отдельно [3, 4].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Pimcore и Akeneo предоставляют развитые средства управления товарными данными, вариантами, атрибутами, изображениями и процессами согласования. При этом модель компьютерной BOM, проверка совместимости и логика массовой замены требуют предметного расширения [5, 6].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Проектируемая ИС получает наибольшую оценку применимости, поскольку её границы изначально соответствуют процессу ООО «Юкомс». Результат сравнения не означает необходимость полностью отказаться от готовых платформ: отдельные решения могут использоваться как источник архитектурных подходов или интеграционный компонент.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9 Выводы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В рамках практического занятия построены модели AS IS в нотациях IDEF0 и BPMN 2.0. Анализ показал, что ключевые потери процесса связаны с раздельным ведением взаимозависимых данных, ручной проверкой совместимости и повторной обработкой изменений.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Сформированы 22 функциональных и 12 измеримых нефункциональных требований. Сравнение четырёх программных аналогов подтвердило целесообразность проектирования специализированной системы, объединяющей BOM, предложения поставщиков, правила совместимости и публикацию карточек в Ozon.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СПИСОК ИСПОЛЬЗОВАННЫХ ИСТОЧНИКОВ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Албахтин И.В. Реинжиниринг бизнес-процесса «Сопровождение заказов на поставку компьютерных систем» в ООО «Юкомс». Курсовая работа. Москва, 2026.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Разработка обеспечивающих подсистем. Практическое занятие № 1. РТУ МИРЭА, 2026.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Ozon Seller API. Документация для продавцов. URL: https://docs.ozon.ru/api/seller/ (дата обращения: 09.09.2026).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1С:ERP. Управление закупками. URL: https://v8.1c.ru/erp/purchasing/ (дата обращения: 09.09.2026).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Pimcore. Implementing Product Information Management. URL: https://docs.pimcore.com/platform/2025.4/ (раздел Best Practice; дата обращения: 09.09.2026).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Akeneo. Navigating a product page. URL: https://help.akeneo.com/using-the-product-page (дата обращения: 09.09.2026).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Официальный сайт ООО «Юкомс». URL: https://ucoms.ru/ (дата обращения: 09.09.2026).</w:t>
      </w:r>
    </w:p>
    <w:sectPr w:rsidR="00FC693F" w:rsidRPr="0006063C" w:rsidSect="00034616">
      <w:footerReference w:type="default" r:id="rId1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image" Target="media/image3.png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image" Target="media/image4.png"/><Relationship Id="rId19" Type="http://schemas.openxmlformats.org/officeDocument/2006/relationships/footer" Target="footer7.xml"/><Relationship Id="rId20" Type="http://schemas.openxmlformats.org/officeDocument/2006/relationships/image" Target="media/image5.png"/><Relationship Id="rId2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Единый отчёт по дисциплине РОП</dc:title>
  <dc:subject>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</dc:subject>
  <dc:creator>Албахтин Илья Владиславович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