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7AADD" w14:textId="77777777" w:rsidR="00E04050" w:rsidRPr="00D7339A" w:rsidRDefault="00E04050" w:rsidP="00E04050">
      <w:pPr>
        <w:spacing w:after="0" w:line="360" w:lineRule="auto"/>
        <w:rPr>
          <w:sz w:val="30"/>
          <w:szCs w:val="30"/>
          <w:lang w:val="en-US"/>
        </w:rPr>
      </w:pPr>
      <w:r w:rsidRPr="00D7339A">
        <w:rPr>
          <w:sz w:val="30"/>
          <w:szCs w:val="30"/>
          <w:lang w:val="en-US"/>
        </w:rPr>
        <w:t>OAuth 2.0 Overview</w:t>
      </w:r>
    </w:p>
    <w:p w14:paraId="15F2B6FB" w14:textId="77777777" w:rsidR="00E04050" w:rsidRPr="00D7339A" w:rsidRDefault="00E04050" w:rsidP="00E04050">
      <w:pPr>
        <w:spacing w:after="0" w:line="360" w:lineRule="auto"/>
        <w:rPr>
          <w:sz w:val="30"/>
          <w:szCs w:val="30"/>
          <w:lang w:val="en-US"/>
        </w:rPr>
      </w:pPr>
      <w:r w:rsidRPr="00D7339A">
        <w:rPr>
          <w:sz w:val="30"/>
          <w:szCs w:val="30"/>
          <w:lang w:val="en-US"/>
        </w:rPr>
        <w:t>OAuth 2.0 is an authorization framework that allows third-party applications to obtain limited access to user accounts on an HTTP service, such as a web application or API, without exposing the user’s credentials. OAuth 2.0 was developed by the IETF OAuth Working Group to provide a more secure and flexible alternative to its predecessor, OAuth 1.0. OAuth 2.0’s primary advantage over traditional authentication methods, such as username and password, is that it allows users to grant specific levels of access to third-party applications without sharing their sensitive information. This is achieved by using access tokens that are issued by an authorization server after the user successfully authenticates.</w:t>
      </w:r>
    </w:p>
    <w:p w14:paraId="1B6274BB" w14:textId="77777777" w:rsidR="00E04050" w:rsidRPr="00D7339A" w:rsidRDefault="00E04050" w:rsidP="00E04050">
      <w:pPr>
        <w:spacing w:after="0" w:line="360" w:lineRule="auto"/>
        <w:rPr>
          <w:sz w:val="30"/>
          <w:szCs w:val="30"/>
          <w:lang w:val="en-US"/>
        </w:rPr>
      </w:pPr>
      <w:r w:rsidRPr="00D7339A">
        <w:rPr>
          <w:sz w:val="30"/>
          <w:szCs w:val="30"/>
          <w:lang w:val="en-US"/>
        </w:rPr>
        <w:t>OAuth 2.0 provides flexibility in authorization flows, allowing it to cater to a wide range of application types, from web apps to mobile devices, and even IoT devices. These various flows include the Authorization Code Flow, Implicit Flow, Client Credentials Flow, and Resource Owner Password Credentials Flow, each tailored for different use cases. This flexibility has made OAuth 2.0 the de facto standard for securing APIs and enabling Single Sign-On (SSO) experiences across services.</w:t>
      </w:r>
    </w:p>
    <w:p w14:paraId="2B24F098" w14:textId="77777777" w:rsidR="00E04050" w:rsidRPr="00D7339A" w:rsidRDefault="00E04050" w:rsidP="00E04050">
      <w:pPr>
        <w:spacing w:after="0" w:line="360" w:lineRule="auto"/>
        <w:rPr>
          <w:sz w:val="30"/>
          <w:szCs w:val="30"/>
          <w:lang w:val="en-US"/>
        </w:rPr>
      </w:pPr>
      <w:r w:rsidRPr="00D7339A">
        <w:rPr>
          <w:sz w:val="30"/>
          <w:szCs w:val="30"/>
          <w:lang w:val="en-US"/>
        </w:rPr>
        <w:t>However, despite its widespread adoption, OAuth 2.0 has faced criticism due to its complexity and the potential for security vulnerabilities, especially in improper implementations. Over time, the OAuth 2.0 specification has been refined to address these issues, leading to numerous security enhancements. One notable example is the introduction of Proof Key for Code Exchange (PKCE), which was originally developed for mobile applications but has since become a standard part of OAuth 2.0 flows. PKCE mitigates the risk of code interception attacks, where attackers steal authorization codes to gain access to tokens.</w:t>
      </w:r>
    </w:p>
    <w:p w14:paraId="432EB5B6" w14:textId="77777777" w:rsidR="00E04050" w:rsidRPr="00D7339A" w:rsidRDefault="00E04050" w:rsidP="00E04050">
      <w:pPr>
        <w:spacing w:after="0" w:line="360" w:lineRule="auto"/>
        <w:rPr>
          <w:sz w:val="30"/>
          <w:szCs w:val="30"/>
          <w:lang w:val="en-US"/>
        </w:rPr>
      </w:pPr>
      <w:r w:rsidRPr="00D7339A">
        <w:rPr>
          <w:sz w:val="30"/>
          <w:szCs w:val="30"/>
          <w:lang w:val="en-US"/>
        </w:rPr>
        <w:lastRenderedPageBreak/>
        <w:t>OAuth 2.0 has also seen enhancements in its handling of consent management, token revocation, and access control mechanisms. These improvements are crucial as they address key areas such as ensuring that users can manage their consent for data sharing, providing fine-grained access control policies, and securing the authorization process. The integration of OAuth 2.0 with other security frameworks, such as OpenID Connect (OIDC), has further enhanced its capabilities, making it a robust solution for modern identity and access management (IAM) systems.</w:t>
      </w:r>
    </w:p>
    <w:p w14:paraId="71FDCD53" w14:textId="77777777" w:rsidR="00E04050" w:rsidRPr="00D7339A" w:rsidRDefault="00E04050" w:rsidP="00E04050">
      <w:pPr>
        <w:spacing w:after="0" w:line="360" w:lineRule="auto"/>
        <w:rPr>
          <w:sz w:val="30"/>
          <w:szCs w:val="30"/>
          <w:lang w:val="en-US"/>
        </w:rPr>
      </w:pPr>
      <w:r w:rsidRPr="00D7339A">
        <w:rPr>
          <w:sz w:val="30"/>
          <w:szCs w:val="30"/>
          <w:lang w:val="en-US"/>
        </w:rPr>
        <w:t>SAML Overview</w:t>
      </w:r>
    </w:p>
    <w:p w14:paraId="30BACA8F" w14:textId="77777777" w:rsidR="00E04050" w:rsidRPr="00D7339A" w:rsidRDefault="00E04050" w:rsidP="00E04050">
      <w:pPr>
        <w:spacing w:after="0" w:line="360" w:lineRule="auto"/>
        <w:rPr>
          <w:sz w:val="30"/>
          <w:szCs w:val="30"/>
          <w:lang w:val="en-US"/>
        </w:rPr>
      </w:pPr>
      <w:r w:rsidRPr="00D7339A">
        <w:rPr>
          <w:sz w:val="30"/>
          <w:szCs w:val="30"/>
          <w:lang w:val="en-US"/>
        </w:rPr>
        <w:t>Security Assertion Markup Language (SAML) is an XML-based framework that facilitates Single Sign-On (SSO) by enabling the secure exchange of authentication and authorization data between identity providers (IdPs) and service providers (SPs). Developed by the OASIS Security Services Technical Committee, SAML has become a widely adopted standard for identity federation, particularly in enterprise environments. It allows users to authenticate once with an identity provider and then access multiple services without the need to re-enter credentials for each service. This not only enhances user experience by eliminating repeated logins but also improves security by reducing the exposure of sensitive authentication credentials.</w:t>
      </w:r>
    </w:p>
    <w:p w14:paraId="08F9AEE3" w14:textId="77777777" w:rsidR="00E04050" w:rsidRPr="00D7339A" w:rsidRDefault="00E04050" w:rsidP="00E04050">
      <w:pPr>
        <w:spacing w:after="0" w:line="360" w:lineRule="auto"/>
        <w:rPr>
          <w:sz w:val="30"/>
          <w:szCs w:val="30"/>
          <w:lang w:val="en-US"/>
        </w:rPr>
      </w:pPr>
      <w:r w:rsidRPr="00D7339A">
        <w:rPr>
          <w:sz w:val="30"/>
          <w:szCs w:val="30"/>
          <w:lang w:val="en-US"/>
        </w:rPr>
        <w:t>SAML works by transmitting assertions, which are statements made by the identity provider about a user’s identity and access privileges. When a user attempts to access a service, the service provider sends a request to the identity provider for authentication. Upon successful authentication, the identity provider issues a SAML assertion that contains user information, such as their username, roles, and attributes, and sends it to the service provider. The service provider then validates the assertion and grants the user access to the requested resources.</w:t>
      </w:r>
    </w:p>
    <w:p w14:paraId="6DB6F342" w14:textId="77777777" w:rsidR="00E04050" w:rsidRPr="00D7339A" w:rsidRDefault="00E04050" w:rsidP="00E04050">
      <w:pPr>
        <w:spacing w:after="0" w:line="360" w:lineRule="auto"/>
        <w:rPr>
          <w:sz w:val="30"/>
          <w:szCs w:val="30"/>
          <w:lang w:val="en-US"/>
        </w:rPr>
      </w:pPr>
      <w:r w:rsidRPr="00D7339A">
        <w:rPr>
          <w:sz w:val="30"/>
          <w:szCs w:val="30"/>
          <w:lang w:val="en-US"/>
        </w:rPr>
        <w:lastRenderedPageBreak/>
        <w:t>While SAML has been a trusted solution for identity federation, particularly in large-scale enterprise environments, it faces certain limitations, particularly when it comes to user experience and integration with newer web technologies. SAML is primarily designed for web-based authentication and is heavily dependent on XML, which can be cumbersome for developers and may not integrate well with modern, lightweight protocols like RESTful APIs. Furthermore, SAML can be complex to configure and implement, which has led to the development of simpler, more developer-friendly alternatives, such as OAuth 2.0.</w:t>
      </w:r>
    </w:p>
    <w:p w14:paraId="1E9F1F0B" w14:textId="77777777" w:rsidR="00E04050" w:rsidRPr="00D7339A" w:rsidRDefault="00E04050" w:rsidP="00E04050">
      <w:pPr>
        <w:spacing w:after="0" w:line="360" w:lineRule="auto"/>
        <w:rPr>
          <w:sz w:val="30"/>
          <w:szCs w:val="30"/>
          <w:lang w:val="en-US"/>
        </w:rPr>
      </w:pPr>
      <w:r w:rsidRPr="00D7339A">
        <w:rPr>
          <w:sz w:val="30"/>
          <w:szCs w:val="30"/>
          <w:lang w:val="en-US"/>
        </w:rPr>
        <w:t>However, despite these challenges, SAML continues to be a key player in the identity federation space, especially in environments where robust security requirements are needed, such as financial institutions, healthcare organizations, and government agencies. Recent innovations in SAML have focused on enhancing its interoperability with other authentication standards, making it more flexible and easier to integrate into hybrid and multi-cloud environments. Additionally, the shift towards cloud-native applications has prompted efforts to streamline SAML configurations and reduce the complexity involved in implementing SSO solutions.</w:t>
      </w:r>
    </w:p>
    <w:p w14:paraId="5976AA68" w14:textId="77777777" w:rsidR="00E04050" w:rsidRPr="00D7339A" w:rsidRDefault="00E04050" w:rsidP="00E04050">
      <w:pPr>
        <w:spacing w:after="0" w:line="360" w:lineRule="auto"/>
        <w:rPr>
          <w:sz w:val="30"/>
          <w:szCs w:val="30"/>
          <w:lang w:val="en-US"/>
        </w:rPr>
      </w:pPr>
      <w:r w:rsidRPr="00D7339A">
        <w:rPr>
          <w:sz w:val="30"/>
          <w:szCs w:val="30"/>
          <w:lang w:val="en-US"/>
        </w:rPr>
        <w:t>The Integration of OAuth 2.0 and SAML</w:t>
      </w:r>
    </w:p>
    <w:p w14:paraId="789E499E" w14:textId="5EB6A81A" w:rsidR="00E04050" w:rsidRPr="00D7339A" w:rsidRDefault="00E04050" w:rsidP="00E04050">
      <w:pPr>
        <w:spacing w:after="0" w:line="360" w:lineRule="auto"/>
        <w:rPr>
          <w:sz w:val="30"/>
          <w:szCs w:val="30"/>
          <w:lang w:val="en-US"/>
        </w:rPr>
      </w:pPr>
      <w:r w:rsidRPr="00D7339A">
        <w:rPr>
          <w:sz w:val="30"/>
          <w:szCs w:val="30"/>
          <w:lang w:val="en-US"/>
        </w:rPr>
        <w:t>One of the emerging trends in modern authentication is the integration of OAuth 2.0 and SAML to leverage the strengths of both protocols. OAuth 2.0’s flexibility and lightweight design make it ideal for use with APIs and mobile applications, while SAML’s strong security features and enterprise focus are well-suited for complex, federated identity environments. By combining OAuth 2.0 and SAML, organizations can create more robust identity solutions that provide a unified experience across diverse applications and services.</w:t>
      </w:r>
    </w:p>
    <w:p w14:paraId="7D633CE5" w14:textId="77777777" w:rsidR="00E04050" w:rsidRPr="00D7339A" w:rsidRDefault="00E04050" w:rsidP="00E04050">
      <w:pPr>
        <w:spacing w:after="0" w:line="360" w:lineRule="auto"/>
        <w:rPr>
          <w:sz w:val="30"/>
          <w:szCs w:val="30"/>
          <w:lang w:val="en-US"/>
        </w:rPr>
      </w:pPr>
    </w:p>
    <w:p w14:paraId="7C66B599" w14:textId="111770EA" w:rsidR="00D7339A" w:rsidRPr="0057062F" w:rsidRDefault="00D7339A" w:rsidP="00D7339A">
      <w:pPr>
        <w:numPr>
          <w:ilvl w:val="0"/>
          <w:numId w:val="1"/>
        </w:numPr>
      </w:pPr>
      <w:r w:rsidRPr="0057062F">
        <w:rPr>
          <w:b/>
          <w:bCs/>
        </w:rPr>
        <w:lastRenderedPageBreak/>
        <w:t>OAuth 2.0</w:t>
      </w:r>
      <w:r w:rsidRPr="0057062F">
        <w:t xml:space="preserve"> </w:t>
      </w:r>
      <w:r>
        <w:t>(</w:t>
      </w:r>
      <w:r w:rsidRPr="00FB3461">
        <w:rPr>
          <w:b/>
          <w:bCs/>
        </w:rPr>
        <w:t>Open Authorization 2.0</w:t>
      </w:r>
      <w:r>
        <w:rPr>
          <w:b/>
          <w:bCs/>
        </w:rPr>
        <w:t>)</w:t>
      </w:r>
      <w:r>
        <w:t xml:space="preserve"> </w:t>
      </w:r>
      <w:r w:rsidR="003F4FC4">
        <w:t>–</w:t>
      </w:r>
      <w:r>
        <w:t xml:space="preserve"> </w:t>
      </w:r>
      <w:r w:rsidR="003F4FC4">
        <w:t>Открытая автозизация 2.0 (</w:t>
      </w:r>
      <w:r w:rsidRPr="0057062F">
        <w:t>Фреймворк авторизации, позволяющий сторонним приложениям получать ограниченный доступ к учетным записям пользователей на HTTP-сервисах (например, веб-приложения или API) без раскрытия их учетных данных.</w:t>
      </w:r>
      <w:r w:rsidR="003F4FC4">
        <w:t>)</w:t>
      </w:r>
      <w:r w:rsidRPr="0057062F">
        <w:t xml:space="preserve"> </w:t>
      </w:r>
    </w:p>
    <w:p w14:paraId="0B519F81" w14:textId="77777777" w:rsidR="00D7339A" w:rsidRPr="0057062F" w:rsidRDefault="00D7339A" w:rsidP="00D7339A">
      <w:pPr>
        <w:numPr>
          <w:ilvl w:val="0"/>
          <w:numId w:val="1"/>
        </w:numPr>
        <w:rPr>
          <w:lang w:val="en-US"/>
        </w:rPr>
      </w:pPr>
      <w:r w:rsidRPr="0057062F">
        <w:rPr>
          <w:b/>
          <w:bCs/>
          <w:lang w:val="en-US"/>
        </w:rPr>
        <w:t>Authorization Code Flow</w:t>
      </w:r>
      <w:r w:rsidRPr="0057062F">
        <w:rPr>
          <w:lang w:val="en-US"/>
        </w:rPr>
        <w:t xml:space="preserve"> </w:t>
      </w:r>
      <w:r w:rsidRPr="00FB3461">
        <w:rPr>
          <w:b/>
          <w:bCs/>
          <w:lang w:val="en-US"/>
        </w:rPr>
        <w:t xml:space="preserve">- </w:t>
      </w:r>
      <w:r w:rsidRPr="0057062F">
        <w:t>Поток</w:t>
      </w:r>
      <w:r w:rsidRPr="0057062F">
        <w:rPr>
          <w:lang w:val="en-US"/>
        </w:rPr>
        <w:t xml:space="preserve"> </w:t>
      </w:r>
      <w:r w:rsidRPr="0057062F">
        <w:t>кода</w:t>
      </w:r>
      <w:r w:rsidRPr="0057062F">
        <w:rPr>
          <w:lang w:val="en-US"/>
        </w:rPr>
        <w:t xml:space="preserve"> </w:t>
      </w:r>
      <w:r w:rsidRPr="0057062F">
        <w:t>авторизации</w:t>
      </w:r>
      <w:r w:rsidRPr="0057062F">
        <w:rPr>
          <w:lang w:val="en-US"/>
        </w:rPr>
        <w:t xml:space="preserve"> </w:t>
      </w:r>
    </w:p>
    <w:p w14:paraId="5560C126" w14:textId="77777777" w:rsidR="00D7339A" w:rsidRPr="0057062F" w:rsidRDefault="00D7339A" w:rsidP="00D7339A">
      <w:pPr>
        <w:numPr>
          <w:ilvl w:val="0"/>
          <w:numId w:val="1"/>
        </w:numPr>
      </w:pPr>
      <w:r w:rsidRPr="0057062F">
        <w:rPr>
          <w:b/>
          <w:bCs/>
        </w:rPr>
        <w:t>Implicit Flow</w:t>
      </w:r>
      <w:r w:rsidRPr="0057062F">
        <w:t xml:space="preserve"> </w:t>
      </w:r>
      <w:r>
        <w:rPr>
          <w:b/>
          <w:bCs/>
        </w:rPr>
        <w:t xml:space="preserve">- </w:t>
      </w:r>
      <w:r w:rsidRPr="0057062F">
        <w:t xml:space="preserve">Неявный поток </w:t>
      </w:r>
    </w:p>
    <w:p w14:paraId="7BDEABDD" w14:textId="77777777" w:rsidR="00D7339A" w:rsidRPr="0057062F" w:rsidRDefault="00D7339A" w:rsidP="00D7339A">
      <w:pPr>
        <w:numPr>
          <w:ilvl w:val="0"/>
          <w:numId w:val="1"/>
        </w:numPr>
      </w:pPr>
      <w:r w:rsidRPr="0057062F">
        <w:rPr>
          <w:b/>
          <w:bCs/>
        </w:rPr>
        <w:t>Client Credentials Flow</w:t>
      </w:r>
      <w:r w:rsidRPr="0057062F">
        <w:t xml:space="preserve"> </w:t>
      </w:r>
      <w:r>
        <w:rPr>
          <w:b/>
          <w:bCs/>
        </w:rPr>
        <w:t xml:space="preserve">- </w:t>
      </w:r>
      <w:r w:rsidRPr="0057062F">
        <w:t xml:space="preserve">Поток учетных данных клиента </w:t>
      </w:r>
    </w:p>
    <w:p w14:paraId="28742E0E" w14:textId="77777777" w:rsidR="00D7339A" w:rsidRPr="0057062F" w:rsidRDefault="00D7339A" w:rsidP="00D7339A">
      <w:pPr>
        <w:numPr>
          <w:ilvl w:val="0"/>
          <w:numId w:val="1"/>
        </w:numPr>
        <w:rPr>
          <w:lang w:val="en-US"/>
        </w:rPr>
      </w:pPr>
      <w:r w:rsidRPr="0057062F">
        <w:rPr>
          <w:b/>
          <w:bCs/>
          <w:lang w:val="en-US"/>
        </w:rPr>
        <w:t>Resource Owner Password Credentials Flow</w:t>
      </w:r>
      <w:r w:rsidRPr="0057062F">
        <w:rPr>
          <w:lang w:val="en-US"/>
        </w:rPr>
        <w:t xml:space="preserve"> </w:t>
      </w:r>
      <w:r w:rsidRPr="00FB3461">
        <w:rPr>
          <w:b/>
          <w:bCs/>
          <w:lang w:val="en-US"/>
        </w:rPr>
        <w:t xml:space="preserve">- </w:t>
      </w:r>
      <w:r w:rsidRPr="0057062F">
        <w:t>Поток</w:t>
      </w:r>
      <w:r w:rsidRPr="0057062F">
        <w:rPr>
          <w:lang w:val="en-US"/>
        </w:rPr>
        <w:t xml:space="preserve"> </w:t>
      </w:r>
      <w:r w:rsidRPr="0057062F">
        <w:t>учетных</w:t>
      </w:r>
      <w:r w:rsidRPr="0057062F">
        <w:rPr>
          <w:lang w:val="en-US"/>
        </w:rPr>
        <w:t xml:space="preserve"> </w:t>
      </w:r>
      <w:r w:rsidRPr="0057062F">
        <w:t>данных</w:t>
      </w:r>
      <w:r w:rsidRPr="0057062F">
        <w:rPr>
          <w:lang w:val="en-US"/>
        </w:rPr>
        <w:t xml:space="preserve"> </w:t>
      </w:r>
      <w:r w:rsidRPr="0057062F">
        <w:t>владельца</w:t>
      </w:r>
      <w:r w:rsidRPr="0057062F">
        <w:rPr>
          <w:lang w:val="en-US"/>
        </w:rPr>
        <w:t xml:space="preserve"> </w:t>
      </w:r>
      <w:r w:rsidRPr="0057062F">
        <w:t>ресурса</w:t>
      </w:r>
      <w:r w:rsidRPr="0057062F">
        <w:rPr>
          <w:lang w:val="en-US"/>
        </w:rPr>
        <w:t xml:space="preserve"> </w:t>
      </w:r>
    </w:p>
    <w:p w14:paraId="0C1790CD" w14:textId="77777777" w:rsidR="00D7339A" w:rsidRPr="0057062F" w:rsidRDefault="00D7339A" w:rsidP="00D7339A">
      <w:pPr>
        <w:numPr>
          <w:ilvl w:val="0"/>
          <w:numId w:val="1"/>
        </w:numPr>
        <w:rPr>
          <w:lang w:val="en-US"/>
        </w:rPr>
      </w:pPr>
      <w:r w:rsidRPr="0057062F">
        <w:rPr>
          <w:b/>
          <w:bCs/>
          <w:lang w:val="en-US"/>
        </w:rPr>
        <w:t>PKCE (Proof Key for Code Exchange)</w:t>
      </w:r>
      <w:r w:rsidRPr="0057062F">
        <w:rPr>
          <w:lang w:val="en-US"/>
        </w:rPr>
        <w:t xml:space="preserve"> </w:t>
      </w:r>
      <w:r w:rsidRPr="00FB3461">
        <w:rPr>
          <w:b/>
          <w:bCs/>
          <w:lang w:val="en-US"/>
        </w:rPr>
        <w:t xml:space="preserve">- </w:t>
      </w:r>
      <w:r w:rsidRPr="0057062F">
        <w:t>Ключ</w:t>
      </w:r>
      <w:r w:rsidRPr="0057062F">
        <w:rPr>
          <w:lang w:val="en-US"/>
        </w:rPr>
        <w:t xml:space="preserve"> </w:t>
      </w:r>
      <w:r w:rsidRPr="0057062F">
        <w:t>доказательства</w:t>
      </w:r>
      <w:r w:rsidRPr="0057062F">
        <w:rPr>
          <w:lang w:val="en-US"/>
        </w:rPr>
        <w:t xml:space="preserve"> </w:t>
      </w:r>
      <w:r w:rsidRPr="0057062F">
        <w:t>для</w:t>
      </w:r>
      <w:r w:rsidRPr="0057062F">
        <w:rPr>
          <w:lang w:val="en-US"/>
        </w:rPr>
        <w:t xml:space="preserve"> </w:t>
      </w:r>
      <w:r w:rsidRPr="0057062F">
        <w:t>обмена</w:t>
      </w:r>
      <w:r w:rsidRPr="0057062F">
        <w:rPr>
          <w:lang w:val="en-US"/>
        </w:rPr>
        <w:t xml:space="preserve"> </w:t>
      </w:r>
      <w:r w:rsidRPr="0057062F">
        <w:t>кодом</w:t>
      </w:r>
      <w:r w:rsidRPr="0057062F">
        <w:rPr>
          <w:lang w:val="en-US"/>
        </w:rPr>
        <w:t xml:space="preserve"> </w:t>
      </w:r>
    </w:p>
    <w:p w14:paraId="7F1AC769" w14:textId="77777777" w:rsidR="00D7339A" w:rsidRPr="0057062F" w:rsidRDefault="00D7339A" w:rsidP="00D7339A">
      <w:pPr>
        <w:numPr>
          <w:ilvl w:val="0"/>
          <w:numId w:val="1"/>
        </w:numPr>
      </w:pPr>
      <w:r w:rsidRPr="0057062F">
        <w:rPr>
          <w:b/>
          <w:bCs/>
        </w:rPr>
        <w:t>Access Token</w:t>
      </w:r>
      <w:r w:rsidRPr="0057062F">
        <w:t xml:space="preserve"> </w:t>
      </w:r>
      <w:r>
        <w:rPr>
          <w:b/>
          <w:bCs/>
        </w:rPr>
        <w:t xml:space="preserve">- </w:t>
      </w:r>
      <w:r w:rsidRPr="0057062F">
        <w:t xml:space="preserve">Токен доступа </w:t>
      </w:r>
    </w:p>
    <w:p w14:paraId="4160F72A" w14:textId="77777777" w:rsidR="00D7339A" w:rsidRPr="0057062F" w:rsidRDefault="00D7339A" w:rsidP="00D7339A">
      <w:pPr>
        <w:numPr>
          <w:ilvl w:val="0"/>
          <w:numId w:val="1"/>
        </w:numPr>
        <w:rPr>
          <w:lang w:val="en-US"/>
        </w:rPr>
      </w:pPr>
      <w:r w:rsidRPr="0057062F">
        <w:rPr>
          <w:b/>
          <w:bCs/>
          <w:lang w:val="en-US"/>
        </w:rPr>
        <w:t>SSO (Single Sign-On)</w:t>
      </w:r>
      <w:r w:rsidRPr="0057062F">
        <w:rPr>
          <w:lang w:val="en-US"/>
        </w:rPr>
        <w:t xml:space="preserve"> </w:t>
      </w:r>
      <w:r w:rsidRPr="00FB3461">
        <w:rPr>
          <w:b/>
          <w:bCs/>
          <w:lang w:val="en-US"/>
        </w:rPr>
        <w:t xml:space="preserve">- </w:t>
      </w:r>
      <w:r w:rsidRPr="0057062F">
        <w:t>Единый</w:t>
      </w:r>
      <w:r w:rsidRPr="0057062F">
        <w:rPr>
          <w:lang w:val="en-US"/>
        </w:rPr>
        <w:t xml:space="preserve"> </w:t>
      </w:r>
      <w:r w:rsidRPr="0057062F">
        <w:t>вход</w:t>
      </w:r>
      <w:r w:rsidRPr="0057062F">
        <w:rPr>
          <w:lang w:val="en-US"/>
        </w:rPr>
        <w:t xml:space="preserve"> </w:t>
      </w:r>
    </w:p>
    <w:p w14:paraId="3FF6CF03" w14:textId="77777777" w:rsidR="00D7339A" w:rsidRPr="0057062F" w:rsidRDefault="00D7339A" w:rsidP="00D7339A">
      <w:pPr>
        <w:numPr>
          <w:ilvl w:val="0"/>
          <w:numId w:val="1"/>
        </w:numPr>
        <w:rPr>
          <w:lang w:val="en-US"/>
        </w:rPr>
      </w:pPr>
      <w:r w:rsidRPr="0057062F">
        <w:rPr>
          <w:b/>
          <w:bCs/>
          <w:lang w:val="en-US"/>
        </w:rPr>
        <w:t>SAML (Security Assertion Markup Language)</w:t>
      </w:r>
      <w:r w:rsidRPr="0057062F">
        <w:rPr>
          <w:lang w:val="en-US"/>
        </w:rPr>
        <w:t xml:space="preserve"> </w:t>
      </w:r>
      <w:r w:rsidRPr="00FB3461">
        <w:rPr>
          <w:b/>
          <w:bCs/>
          <w:lang w:val="en-US"/>
        </w:rPr>
        <w:t xml:space="preserve">- </w:t>
      </w:r>
      <w:r w:rsidRPr="0057062F">
        <w:t>Язык</w:t>
      </w:r>
      <w:r w:rsidRPr="0057062F">
        <w:rPr>
          <w:lang w:val="en-US"/>
        </w:rPr>
        <w:t xml:space="preserve"> </w:t>
      </w:r>
      <w:r w:rsidRPr="0057062F">
        <w:t>разметки</w:t>
      </w:r>
      <w:r w:rsidRPr="0057062F">
        <w:rPr>
          <w:lang w:val="en-US"/>
        </w:rPr>
        <w:t xml:space="preserve"> </w:t>
      </w:r>
      <w:r w:rsidRPr="0057062F">
        <w:t>утверждений</w:t>
      </w:r>
      <w:r w:rsidRPr="0057062F">
        <w:rPr>
          <w:lang w:val="en-US"/>
        </w:rPr>
        <w:t xml:space="preserve"> </w:t>
      </w:r>
      <w:r w:rsidRPr="0057062F">
        <w:t>безопасности</w:t>
      </w:r>
      <w:r w:rsidRPr="0057062F">
        <w:rPr>
          <w:lang w:val="en-US"/>
        </w:rPr>
        <w:t xml:space="preserve"> </w:t>
      </w:r>
    </w:p>
    <w:p w14:paraId="7A708E3D" w14:textId="77777777" w:rsidR="00D7339A" w:rsidRPr="0057062F" w:rsidRDefault="00D7339A" w:rsidP="00D7339A">
      <w:pPr>
        <w:numPr>
          <w:ilvl w:val="0"/>
          <w:numId w:val="1"/>
        </w:numPr>
      </w:pPr>
      <w:r w:rsidRPr="0057062F">
        <w:rPr>
          <w:b/>
          <w:bCs/>
        </w:rPr>
        <w:t>IdP (Identity Provider)</w:t>
      </w:r>
      <w:r w:rsidRPr="0057062F">
        <w:t xml:space="preserve"> </w:t>
      </w:r>
      <w:r>
        <w:rPr>
          <w:b/>
          <w:bCs/>
        </w:rPr>
        <w:t xml:space="preserve">- </w:t>
      </w:r>
      <w:r w:rsidRPr="0057062F">
        <w:t xml:space="preserve">Поставщик идентификации </w:t>
      </w:r>
    </w:p>
    <w:p w14:paraId="4B0DA66E" w14:textId="77777777" w:rsidR="00D7339A" w:rsidRDefault="00D7339A" w:rsidP="00D7339A">
      <w:pPr>
        <w:numPr>
          <w:ilvl w:val="0"/>
          <w:numId w:val="1"/>
        </w:numPr>
      </w:pPr>
      <w:r w:rsidRPr="0057062F">
        <w:rPr>
          <w:b/>
          <w:bCs/>
        </w:rPr>
        <w:t xml:space="preserve">Service Provider </w:t>
      </w:r>
      <w:r>
        <w:t>-</w:t>
      </w:r>
      <w:r w:rsidRPr="0057062F">
        <w:t xml:space="preserve"> Поставщик услуг </w:t>
      </w:r>
    </w:p>
    <w:p w14:paraId="65B6B5EE" w14:textId="77777777" w:rsidR="00D7339A" w:rsidRPr="0057062F" w:rsidRDefault="00D7339A" w:rsidP="00D7339A">
      <w:pPr>
        <w:pStyle w:val="a7"/>
        <w:numPr>
          <w:ilvl w:val="0"/>
          <w:numId w:val="1"/>
        </w:numPr>
      </w:pPr>
      <w:r w:rsidRPr="0057062F">
        <w:rPr>
          <w:b/>
          <w:bCs/>
        </w:rPr>
        <w:t>SAML</w:t>
      </w:r>
      <w:r>
        <w:rPr>
          <w:b/>
          <w:bCs/>
        </w:rPr>
        <w:t xml:space="preserve"> (</w:t>
      </w:r>
      <w:r w:rsidRPr="00FB3461">
        <w:rPr>
          <w:b/>
          <w:bCs/>
        </w:rPr>
        <w:t>security assertion markup language</w:t>
      </w:r>
      <w:r>
        <w:rPr>
          <w:b/>
          <w:bCs/>
        </w:rPr>
        <w:t>)</w:t>
      </w:r>
      <w:r w:rsidRPr="0057062F">
        <w:rPr>
          <w:b/>
          <w:bCs/>
        </w:rPr>
        <w:t xml:space="preserve"> </w:t>
      </w:r>
      <w:r>
        <w:rPr>
          <w:b/>
          <w:bCs/>
        </w:rPr>
        <w:t xml:space="preserve">- </w:t>
      </w:r>
      <w:r w:rsidRPr="00FB3461">
        <w:t>язык разметки декларации безопасности</w:t>
      </w:r>
    </w:p>
    <w:p w14:paraId="2D6E61D9" w14:textId="77777777" w:rsidR="00D7339A" w:rsidRPr="0057062F" w:rsidRDefault="00D7339A" w:rsidP="00D7339A">
      <w:pPr>
        <w:numPr>
          <w:ilvl w:val="0"/>
          <w:numId w:val="1"/>
        </w:numPr>
      </w:pPr>
      <w:r w:rsidRPr="0057062F">
        <w:rPr>
          <w:b/>
          <w:bCs/>
        </w:rPr>
        <w:t>SAML Assertion</w:t>
      </w:r>
      <w:r w:rsidRPr="0057062F">
        <w:t xml:space="preserve"> </w:t>
      </w:r>
      <w:r>
        <w:rPr>
          <w:b/>
          <w:bCs/>
        </w:rPr>
        <w:t xml:space="preserve">- </w:t>
      </w:r>
      <w:r w:rsidRPr="0057062F">
        <w:t xml:space="preserve">Утверждение SAML </w:t>
      </w:r>
    </w:p>
    <w:p w14:paraId="7EAC9B5E" w14:textId="77777777" w:rsidR="00D7339A" w:rsidRPr="0057062F" w:rsidRDefault="00D7339A" w:rsidP="00D7339A">
      <w:pPr>
        <w:numPr>
          <w:ilvl w:val="0"/>
          <w:numId w:val="1"/>
        </w:numPr>
        <w:rPr>
          <w:lang w:val="en-US"/>
        </w:rPr>
      </w:pPr>
      <w:r w:rsidRPr="0057062F">
        <w:rPr>
          <w:b/>
          <w:bCs/>
          <w:lang w:val="en-US"/>
        </w:rPr>
        <w:t>JSON Web Token</w:t>
      </w:r>
      <w:r w:rsidRPr="00FB3461">
        <w:rPr>
          <w:b/>
          <w:bCs/>
          <w:lang w:val="en-US"/>
        </w:rPr>
        <w:t xml:space="preserve"> - </w:t>
      </w:r>
      <w:r w:rsidRPr="0057062F">
        <w:t>Веб</w:t>
      </w:r>
      <w:r w:rsidRPr="0057062F">
        <w:rPr>
          <w:lang w:val="en-US"/>
        </w:rPr>
        <w:t>-</w:t>
      </w:r>
      <w:r w:rsidRPr="0057062F">
        <w:t>токен</w:t>
      </w:r>
      <w:r w:rsidRPr="0057062F">
        <w:rPr>
          <w:lang w:val="en-US"/>
        </w:rPr>
        <w:t xml:space="preserve"> JSON </w:t>
      </w:r>
    </w:p>
    <w:p w14:paraId="3ED167AD" w14:textId="53097B47" w:rsidR="00D7339A" w:rsidRPr="0057062F" w:rsidRDefault="00D7339A" w:rsidP="00D7339A">
      <w:pPr>
        <w:numPr>
          <w:ilvl w:val="0"/>
          <w:numId w:val="1"/>
        </w:numPr>
      </w:pPr>
      <w:r w:rsidRPr="0057062F">
        <w:rPr>
          <w:b/>
          <w:bCs/>
        </w:rPr>
        <w:t>OpenID Connect</w:t>
      </w:r>
      <w:r>
        <w:rPr>
          <w:b/>
          <w:bCs/>
        </w:rPr>
        <w:t xml:space="preserve"> - </w:t>
      </w:r>
      <w:r w:rsidR="004352C9">
        <w:t>П</w:t>
      </w:r>
      <w:r w:rsidR="004352C9" w:rsidRPr="004352C9">
        <w:t>ротокол проверки подлинности удостоверений</w:t>
      </w:r>
      <w:r w:rsidRPr="0057062F">
        <w:t xml:space="preserve"> </w:t>
      </w:r>
    </w:p>
    <w:p w14:paraId="02831B83" w14:textId="77777777" w:rsidR="00D7339A" w:rsidRPr="0057062F" w:rsidRDefault="00D7339A" w:rsidP="00D7339A">
      <w:pPr>
        <w:numPr>
          <w:ilvl w:val="0"/>
          <w:numId w:val="1"/>
        </w:numPr>
      </w:pPr>
      <w:r w:rsidRPr="0057062F">
        <w:rPr>
          <w:b/>
          <w:bCs/>
        </w:rPr>
        <w:t>Federated Identity</w:t>
      </w:r>
      <w:r w:rsidRPr="0057062F">
        <w:t xml:space="preserve"> </w:t>
      </w:r>
      <w:r>
        <w:rPr>
          <w:b/>
          <w:bCs/>
        </w:rPr>
        <w:t xml:space="preserve">- </w:t>
      </w:r>
      <w:r w:rsidRPr="0057062F">
        <w:t xml:space="preserve">Федеративная идентификация </w:t>
      </w:r>
    </w:p>
    <w:p w14:paraId="7AC324E3" w14:textId="77777777" w:rsidR="00D7339A" w:rsidRDefault="00D7339A" w:rsidP="00D7339A">
      <w:pPr>
        <w:numPr>
          <w:ilvl w:val="0"/>
          <w:numId w:val="1"/>
        </w:numPr>
      </w:pPr>
      <w:r w:rsidRPr="0057062F">
        <w:rPr>
          <w:b/>
          <w:bCs/>
        </w:rPr>
        <w:t>Token Revocation</w:t>
      </w:r>
      <w:r w:rsidRPr="0057062F">
        <w:t xml:space="preserve"> </w:t>
      </w:r>
      <w:r>
        <w:rPr>
          <w:b/>
          <w:bCs/>
        </w:rPr>
        <w:t xml:space="preserve">- </w:t>
      </w:r>
      <w:r w:rsidRPr="0057062F">
        <w:t xml:space="preserve">Отзыв токена </w:t>
      </w:r>
    </w:p>
    <w:p w14:paraId="7863A1A5" w14:textId="01C6759D" w:rsidR="00E04050" w:rsidRPr="00D7339A" w:rsidRDefault="00E04050">
      <w:pPr>
        <w:rPr>
          <w:sz w:val="30"/>
          <w:szCs w:val="30"/>
        </w:rPr>
      </w:pPr>
    </w:p>
    <w:sectPr w:rsidR="00E04050" w:rsidRPr="00D733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44C7"/>
    <w:multiLevelType w:val="multilevel"/>
    <w:tmpl w:val="B6EAD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31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50"/>
    <w:rsid w:val="000C72F1"/>
    <w:rsid w:val="003F4FC4"/>
    <w:rsid w:val="004352C9"/>
    <w:rsid w:val="004A309C"/>
    <w:rsid w:val="00784EF4"/>
    <w:rsid w:val="00A20CFF"/>
    <w:rsid w:val="00D039FA"/>
    <w:rsid w:val="00D7339A"/>
    <w:rsid w:val="00E04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EAAC"/>
  <w15:chartTrackingRefBased/>
  <w15:docId w15:val="{07705AC9-78D4-40EC-BD56-8B0DBC38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40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040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0405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E0405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E04050"/>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E040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0405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0405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0405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405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0405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04050"/>
    <w:rPr>
      <w:rFonts w:asciiTheme="minorHAnsi" w:eastAsiaTheme="majorEastAsia" w:hAnsiTheme="minorHAnsi" w:cstheme="majorBidi"/>
      <w:color w:val="2F5496" w:themeColor="accent1" w:themeShade="BF"/>
      <w:szCs w:val="28"/>
    </w:rPr>
  </w:style>
  <w:style w:type="character" w:customStyle="1" w:styleId="40">
    <w:name w:val="Заголовок 4 Знак"/>
    <w:basedOn w:val="a0"/>
    <w:link w:val="4"/>
    <w:uiPriority w:val="9"/>
    <w:semiHidden/>
    <w:rsid w:val="00E04050"/>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E04050"/>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E04050"/>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E04050"/>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E04050"/>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E0405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0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040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405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04050"/>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E04050"/>
    <w:pPr>
      <w:spacing w:before="160"/>
      <w:jc w:val="center"/>
    </w:pPr>
    <w:rPr>
      <w:i/>
      <w:iCs/>
      <w:color w:val="404040" w:themeColor="text1" w:themeTint="BF"/>
    </w:rPr>
  </w:style>
  <w:style w:type="character" w:customStyle="1" w:styleId="22">
    <w:name w:val="Цитата 2 Знак"/>
    <w:basedOn w:val="a0"/>
    <w:link w:val="21"/>
    <w:uiPriority w:val="29"/>
    <w:rsid w:val="00E04050"/>
    <w:rPr>
      <w:i/>
      <w:iCs/>
      <w:color w:val="404040" w:themeColor="text1" w:themeTint="BF"/>
    </w:rPr>
  </w:style>
  <w:style w:type="paragraph" w:styleId="a7">
    <w:name w:val="List Paragraph"/>
    <w:basedOn w:val="a"/>
    <w:uiPriority w:val="34"/>
    <w:qFormat/>
    <w:rsid w:val="00E04050"/>
    <w:pPr>
      <w:ind w:left="720"/>
      <w:contextualSpacing/>
    </w:pPr>
  </w:style>
  <w:style w:type="character" w:styleId="a8">
    <w:name w:val="Intense Emphasis"/>
    <w:basedOn w:val="a0"/>
    <w:uiPriority w:val="21"/>
    <w:qFormat/>
    <w:rsid w:val="00E04050"/>
    <w:rPr>
      <w:i/>
      <w:iCs/>
      <w:color w:val="2F5496" w:themeColor="accent1" w:themeShade="BF"/>
    </w:rPr>
  </w:style>
  <w:style w:type="paragraph" w:styleId="a9">
    <w:name w:val="Intense Quote"/>
    <w:basedOn w:val="a"/>
    <w:next w:val="a"/>
    <w:link w:val="aa"/>
    <w:uiPriority w:val="30"/>
    <w:qFormat/>
    <w:rsid w:val="00E040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04050"/>
    <w:rPr>
      <w:i/>
      <w:iCs/>
      <w:color w:val="2F5496" w:themeColor="accent1" w:themeShade="BF"/>
    </w:rPr>
  </w:style>
  <w:style w:type="character" w:styleId="ab">
    <w:name w:val="Intense Reference"/>
    <w:basedOn w:val="a0"/>
    <w:uiPriority w:val="32"/>
    <w:qFormat/>
    <w:rsid w:val="00E040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 EveryOne</dc:creator>
  <cp:keywords/>
  <dc:description/>
  <cp:lastModifiedBy>VeX EveryOne</cp:lastModifiedBy>
  <cp:revision>4</cp:revision>
  <dcterms:created xsi:type="dcterms:W3CDTF">2025-05-20T16:59:00Z</dcterms:created>
  <dcterms:modified xsi:type="dcterms:W3CDTF">2025-05-20T18:13:00Z</dcterms:modified>
</cp:coreProperties>
</file>