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E0F7E7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4201222B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81C77">
        <w:rPr>
          <w:rFonts w:cs="Times New Roman"/>
          <w:b/>
          <w:sz w:val="32"/>
          <w:szCs w:val="32"/>
        </w:rPr>
        <w:t>4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A40F3C" w14:textId="77777777" w:rsidR="00D4148A" w:rsidRDefault="00D4148A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F7B504A" w:rsidR="00282B48" w:rsidRPr="009E797E" w:rsidRDefault="00F04BD1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ИНБО-12-23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Албахтин И.В.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33830682" w14:textId="77777777" w:rsidR="00F04BD1" w:rsidRPr="009E797E" w:rsidRDefault="00F04BD1" w:rsidP="00F04BD1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Соколова Мария Дмитриевна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06270FBE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481C77">
              <w:rPr>
                <w:rFonts w:cs="Times New Roman"/>
              </w:rPr>
              <w:t>17</w:t>
            </w:r>
            <w:r w:rsidRPr="009E797E">
              <w:rPr>
                <w:rFonts w:cs="Times New Roman"/>
              </w:rPr>
              <w:t>»</w:t>
            </w:r>
            <w:r w:rsidR="00F04BD1">
              <w:rPr>
                <w:rFonts w:cs="Times New Roman"/>
              </w:rPr>
              <w:t xml:space="preserve"> </w:t>
            </w:r>
            <w:r w:rsidR="00481C77">
              <w:rPr>
                <w:rFonts w:cs="Times New Roman"/>
              </w:rPr>
              <w:t>сентября</w:t>
            </w:r>
            <w:r w:rsidR="00F04BD1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F04BD1">
              <w:rPr>
                <w:rFonts w:cs="Times New Roman"/>
              </w:rPr>
              <w:t>5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309D3204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04BD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4D6D6974" w14:textId="77777777" w:rsidR="000320C9" w:rsidRPr="000320C9" w:rsidRDefault="008008A5" w:rsidP="00032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0320C9" w:rsidRPr="000320C9">
        <w:rPr>
          <w:rFonts w:ascii="Times New Roman" w:hAnsi="Times New Roman" w:cs="Times New Roman"/>
          <w:sz w:val="28"/>
          <w:szCs w:val="28"/>
        </w:rPr>
        <w:t>ознакомление с функциональными возможностями</w:t>
      </w:r>
    </w:p>
    <w:p w14:paraId="79736758" w14:textId="77777777" w:rsidR="000320C9" w:rsidRPr="000320C9" w:rsidRDefault="000320C9" w:rsidP="000320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0C9">
        <w:rPr>
          <w:rFonts w:ascii="Times New Roman" w:hAnsi="Times New Roman" w:cs="Times New Roman"/>
          <w:sz w:val="28"/>
          <w:szCs w:val="28"/>
        </w:rPr>
        <w:t>программного обеспечения по созданию бизнес-моделей (процессов,</w:t>
      </w:r>
    </w:p>
    <w:p w14:paraId="5B50A3DD" w14:textId="77777777" w:rsidR="000320C9" w:rsidRPr="000320C9" w:rsidRDefault="000320C9" w:rsidP="000320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0C9">
        <w:rPr>
          <w:rFonts w:ascii="Times New Roman" w:hAnsi="Times New Roman" w:cs="Times New Roman"/>
          <w:sz w:val="28"/>
          <w:szCs w:val="28"/>
        </w:rPr>
        <w:t>осуществляемых различными сотрудниками и отделами организаций</w:t>
      </w:r>
    </w:p>
    <w:p w14:paraId="06D4646A" w14:textId="3FAB29BB" w:rsidR="008008A5" w:rsidRPr="008008A5" w:rsidRDefault="000320C9" w:rsidP="000320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0C9">
        <w:rPr>
          <w:rFonts w:ascii="Times New Roman" w:hAnsi="Times New Roman" w:cs="Times New Roman"/>
          <w:sz w:val="28"/>
          <w:szCs w:val="28"/>
        </w:rPr>
        <w:t>(предприятий, учреждений)) в методологии IDEF0.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190E71" w14:textId="7882CC49" w:rsidR="000320C9" w:rsidRPr="000320C9" w:rsidRDefault="008008A5" w:rsidP="00B437E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0320C9" w:rsidRPr="000320C9">
        <w:rPr>
          <w:rFonts w:ascii="Times New Roman" w:hAnsi="Times New Roman" w:cs="Times New Roman"/>
          <w:sz w:val="28"/>
          <w:szCs w:val="28"/>
        </w:rPr>
        <w:t>на основе выданного преподавателем варианта</w:t>
      </w:r>
      <w:r w:rsidR="000320C9">
        <w:rPr>
          <w:rFonts w:ascii="Times New Roman" w:hAnsi="Times New Roman" w:cs="Times New Roman"/>
          <w:sz w:val="28"/>
          <w:szCs w:val="28"/>
        </w:rPr>
        <w:t xml:space="preserve"> </w:t>
      </w:r>
      <w:r w:rsidR="000320C9" w:rsidRPr="000320C9">
        <w:rPr>
          <w:rFonts w:ascii="Times New Roman" w:hAnsi="Times New Roman" w:cs="Times New Roman"/>
          <w:sz w:val="28"/>
          <w:szCs w:val="28"/>
        </w:rPr>
        <w:t>«Управлять информационным взаимодействием»</w:t>
      </w:r>
    </w:p>
    <w:p w14:paraId="5A71D2DD" w14:textId="5A1665E8" w:rsidR="000320C9" w:rsidRPr="000320C9" w:rsidRDefault="000320C9" w:rsidP="00E12F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0C9">
        <w:rPr>
          <w:rFonts w:ascii="Times New Roman" w:hAnsi="Times New Roman" w:cs="Times New Roman"/>
          <w:sz w:val="28"/>
          <w:szCs w:val="28"/>
        </w:rPr>
        <w:t>1. Построить дерево узлов процесса, используя, например, SmartArt в</w:t>
      </w:r>
      <w:r w:rsidR="00E12F48" w:rsidRPr="00E12F48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текстовом редакторе.</w:t>
      </w:r>
    </w:p>
    <w:p w14:paraId="74324423" w14:textId="3F92C371" w:rsidR="000320C9" w:rsidRPr="000320C9" w:rsidRDefault="000320C9" w:rsidP="00B437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0C9">
        <w:rPr>
          <w:rFonts w:ascii="Times New Roman" w:hAnsi="Times New Roman" w:cs="Times New Roman"/>
          <w:sz w:val="28"/>
          <w:szCs w:val="28"/>
        </w:rPr>
        <w:t>2. Построить контекстную диаграмму, детализацию контекстной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диаграммы, детализацию одного из процессов, согласно выданному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варианту, внеся данные об Авторе и проекте. (При выполнении задания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необходимо помнить, что при построении структурно-функциональной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диаграммы должно соблюдаться требование, если в качестве Входа в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блок используется информационный поток (информация, показатель,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документ), то и Выход будет в виде информационного потока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(информация, показатель, документ), соответственно, если в качестве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Входа в блок используется материальный поток (заготовка, деталь,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комплектующее и т.п.), то и Выход будет в виде материального потока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(узел, продукция и т.п.). Если же необходимо использовать и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информационный поток, и материальный поток в качестве Входа, то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такое возможно при условии, что и на Выходе будут оба вида потоков.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Чаще всего такая ситуация возникает, когда нужно смоделировать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производственный процесс, так как в нем материальные потоки всегда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сопровождаются документацией, то есть информационным потоком.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Подробный пример рассмотрен на стр.34-35 учебного пособия по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моделированию бизнес-процессов, размещенного в СДО.)</w:t>
      </w:r>
    </w:p>
    <w:p w14:paraId="77B0D6BA" w14:textId="6FDE47FF" w:rsidR="008008A5" w:rsidRDefault="000320C9" w:rsidP="00B437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0C9">
        <w:rPr>
          <w:rFonts w:ascii="Times New Roman" w:hAnsi="Times New Roman" w:cs="Times New Roman"/>
          <w:sz w:val="28"/>
          <w:szCs w:val="28"/>
        </w:rPr>
        <w:t>3. Сформировать таблицу, где необходимо указать все Входы, Выходы,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Механизмы и Управление (форма таблицы с примером заполнения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приведена ниже).</w:t>
      </w:r>
    </w:p>
    <w:p w14:paraId="638C8FEF" w14:textId="2A6CCA16" w:rsidR="000320C9" w:rsidRDefault="000320C9" w:rsidP="00B437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0C9">
        <w:rPr>
          <w:rFonts w:ascii="Times New Roman" w:hAnsi="Times New Roman" w:cs="Times New Roman"/>
          <w:sz w:val="28"/>
          <w:szCs w:val="28"/>
        </w:rPr>
        <w:t>4. Выявить такие типы связей, как «Выход-Вход», «Обратная связь по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 xml:space="preserve">входу», </w:t>
      </w:r>
      <w:r w:rsidRPr="000320C9">
        <w:rPr>
          <w:rFonts w:ascii="Times New Roman" w:hAnsi="Times New Roman" w:cs="Times New Roman"/>
          <w:sz w:val="28"/>
          <w:szCs w:val="28"/>
        </w:rPr>
        <w:lastRenderedPageBreak/>
        <w:t>«Обратная связь по управлению», «Управление», «Выход-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механизм», составить их список в таблице (форма таблицы с примером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заполнения приведена ниже).</w:t>
      </w:r>
    </w:p>
    <w:p w14:paraId="43864D73" w14:textId="76262783" w:rsidR="00773334" w:rsidRDefault="000320C9" w:rsidP="00B437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0C9">
        <w:rPr>
          <w:rFonts w:ascii="Times New Roman" w:hAnsi="Times New Roman" w:cs="Times New Roman"/>
          <w:sz w:val="28"/>
          <w:szCs w:val="28"/>
        </w:rPr>
        <w:t>5. Определить объект преобразования по типу: информационный или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материальный, составить таблицу. (Необходимо напомнить, что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информационный поток равносилен документу и не важно, в бумажном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он или электронном виде. В информационной потоке мы обрабатываем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его содержание. Материальный поток — это материальный объект,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который должен быть преобразован с целью получения чего-то нового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по форме и содержанию. Поэтому, например, партия товара — это</w:t>
      </w:r>
      <w:r w:rsidR="00B437E9">
        <w:rPr>
          <w:rFonts w:ascii="Times New Roman" w:hAnsi="Times New Roman" w:cs="Times New Roman"/>
          <w:sz w:val="28"/>
          <w:szCs w:val="28"/>
        </w:rPr>
        <w:t xml:space="preserve"> </w:t>
      </w:r>
      <w:r w:rsidRPr="000320C9">
        <w:rPr>
          <w:rFonts w:ascii="Times New Roman" w:hAnsi="Times New Roman" w:cs="Times New Roman"/>
          <w:sz w:val="28"/>
          <w:szCs w:val="28"/>
        </w:rPr>
        <w:t>материальный поток, а накладная, которая сопровождает эту партиютовара, — это информационный поток).</w:t>
      </w:r>
    </w:p>
    <w:p w14:paraId="42D55F77" w14:textId="77777777" w:rsidR="000320C9" w:rsidRPr="000320C9" w:rsidRDefault="000320C9" w:rsidP="000320C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9EA2304" w14:textId="77777777" w:rsidR="00FD2E50" w:rsidRDefault="00773334" w:rsidP="00FD2E5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FD2E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2E50" w:rsidRPr="00FD2E50">
        <w:rPr>
          <w:rFonts w:ascii="Times New Roman" w:hAnsi="Times New Roman" w:cs="Times New Roman"/>
          <w:bCs/>
          <w:sz w:val="28"/>
          <w:szCs w:val="28"/>
        </w:rPr>
        <w:t>построенные и сохраненные в файле текстового формата дерево узлов процесса, функциональная диаграмма бизнес-процесса, таблицы представленный преподавателю в конце практического занятия.</w:t>
      </w:r>
    </w:p>
    <w:p w14:paraId="36204CED" w14:textId="2554C44A" w:rsidR="00950B4E" w:rsidRPr="00950B4E" w:rsidRDefault="00950B4E" w:rsidP="00950B4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0B4E">
        <w:rPr>
          <w:rFonts w:ascii="Times New Roman" w:hAnsi="Times New Roman" w:cs="Times New Roman"/>
          <w:bCs/>
          <w:sz w:val="28"/>
          <w:szCs w:val="28"/>
        </w:rPr>
        <w:t xml:space="preserve">Построенное дерево </w:t>
      </w:r>
      <w:r>
        <w:rPr>
          <w:rFonts w:ascii="Times New Roman" w:hAnsi="Times New Roman" w:cs="Times New Roman"/>
          <w:bCs/>
          <w:sz w:val="28"/>
          <w:szCs w:val="28"/>
        </w:rPr>
        <w:t xml:space="preserve">(Рисунок 1) </w:t>
      </w:r>
      <w:r w:rsidRPr="00950B4E">
        <w:rPr>
          <w:rFonts w:ascii="Times New Roman" w:hAnsi="Times New Roman" w:cs="Times New Roman"/>
          <w:bCs/>
          <w:sz w:val="28"/>
          <w:szCs w:val="28"/>
        </w:rPr>
        <w:t>наглядно отражает структуру бизнес-процесса «Управлять информационным взаимодействием» и показывает его разбиение на отдельные подзадачи. Такая схема позволяет выделить ключевые действия и их взаимосвязь.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DE7A825" w14:textId="44C07040" w:rsidR="00FD2E50" w:rsidRDefault="000419F0" w:rsidP="00FD2E5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9F1806" wp14:editId="4CA70605">
            <wp:extent cx="5940425" cy="5297805"/>
            <wp:effectExtent l="0" t="0" r="3175" b="0"/>
            <wp:docPr id="1374828851" name="Рисунок 1" descr="Изображение выглядит как текст, диаграмма, снимок экрана, круг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28851" name="Рисунок 1" descr="Изображение выглядит как текст, диаграмма, снимок экрана, круг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98FF" w14:textId="350B425A" w:rsidR="00950B4E" w:rsidRDefault="00FD2E50" w:rsidP="00950B4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1 -</w:t>
      </w:r>
      <w:r w:rsidR="000419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9F0" w:rsidRPr="000419F0">
        <w:rPr>
          <w:rFonts w:ascii="Times New Roman" w:hAnsi="Times New Roman" w:cs="Times New Roman"/>
          <w:b/>
          <w:bCs/>
          <w:sz w:val="28"/>
          <w:szCs w:val="28"/>
        </w:rPr>
        <w:t>Дерево узлов</w:t>
      </w:r>
    </w:p>
    <w:p w14:paraId="35C5D66B" w14:textId="5DA1E2C2" w:rsidR="00950B4E" w:rsidRPr="00950B4E" w:rsidRDefault="00950B4E" w:rsidP="00950B4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Следующая контекстная д</w:t>
      </w:r>
      <w:r w:rsidRPr="00950B4E">
        <w:rPr>
          <w:rFonts w:ascii="Times New Roman" w:hAnsi="Times New Roman" w:cs="Times New Roman"/>
          <w:bCs/>
          <w:sz w:val="28"/>
          <w:szCs w:val="28"/>
        </w:rPr>
        <w:t xml:space="preserve">иаграмма </w:t>
      </w:r>
      <w:r>
        <w:rPr>
          <w:rFonts w:ascii="Times New Roman" w:hAnsi="Times New Roman" w:cs="Times New Roman"/>
          <w:bCs/>
          <w:sz w:val="28"/>
          <w:szCs w:val="28"/>
        </w:rPr>
        <w:t xml:space="preserve">(Рисунок 2) </w:t>
      </w:r>
      <w:r w:rsidRPr="00950B4E">
        <w:rPr>
          <w:rFonts w:ascii="Times New Roman" w:hAnsi="Times New Roman" w:cs="Times New Roman"/>
          <w:bCs/>
          <w:sz w:val="28"/>
          <w:szCs w:val="28"/>
        </w:rPr>
        <w:t>показывает границы исследуемого процесса, определяя его входы, выходы, механизмы и управляющие воздействия. На схеме отображены исполнительные документы, нормативные акты и роли участников, что формирует целостное представление о процессе.</w:t>
      </w:r>
    </w:p>
    <w:p w14:paraId="78B5D32C" w14:textId="77777777" w:rsidR="00950B4E" w:rsidRDefault="00950B4E" w:rsidP="00950B4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B1F2BE" w14:textId="1746278E" w:rsidR="00773334" w:rsidRDefault="00FD2E50" w:rsidP="00FD2E5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3D450AF" wp14:editId="6E8C0435">
            <wp:extent cx="5451763" cy="3776767"/>
            <wp:effectExtent l="0" t="0" r="0" b="0"/>
            <wp:docPr id="13748763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599" cy="378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ED80" w14:textId="40F9E027" w:rsidR="00FD2E50" w:rsidRDefault="00FD2E50" w:rsidP="00FD2E5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2 – Контекстная диаграмма</w:t>
      </w:r>
    </w:p>
    <w:p w14:paraId="5B55604F" w14:textId="25E2D3A8" w:rsidR="00950B4E" w:rsidRPr="00950B4E" w:rsidRDefault="00950B4E" w:rsidP="00950B4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0B4E">
        <w:rPr>
          <w:rFonts w:ascii="Times New Roman" w:hAnsi="Times New Roman" w:cs="Times New Roman"/>
          <w:bCs/>
          <w:sz w:val="28"/>
          <w:szCs w:val="28"/>
        </w:rPr>
        <w:t>На данном этапе выполнена детализация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(декомпозиция)</w:t>
      </w:r>
      <w:r w:rsidRPr="00950B4E">
        <w:rPr>
          <w:rFonts w:ascii="Times New Roman" w:hAnsi="Times New Roman" w:cs="Times New Roman"/>
          <w:bCs/>
          <w:sz w:val="28"/>
          <w:szCs w:val="28"/>
        </w:rPr>
        <w:t xml:space="preserve"> основного процесса на более мелкие составляющие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(Рисунок 3)</w:t>
      </w:r>
      <w:r w:rsidRPr="00950B4E">
        <w:rPr>
          <w:rFonts w:ascii="Times New Roman" w:hAnsi="Times New Roman" w:cs="Times New Roman"/>
          <w:bCs/>
          <w:sz w:val="28"/>
          <w:szCs w:val="28"/>
        </w:rPr>
        <w:t>. Каждая функция описана через входящие и исходящие документы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материальные потоки.</w:t>
      </w:r>
    </w:p>
    <w:p w14:paraId="4AB6D84C" w14:textId="3FEA14E9" w:rsidR="00FD2E50" w:rsidRDefault="00B97BF0" w:rsidP="00FD2E5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7872C9" wp14:editId="63B3A6B6">
            <wp:extent cx="5556739" cy="3847798"/>
            <wp:effectExtent l="0" t="0" r="6350" b="635"/>
            <wp:docPr id="19920689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729" cy="385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E17D" w14:textId="52ACECBD" w:rsidR="00FD2E50" w:rsidRDefault="00FD2E50" w:rsidP="00FD2E5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3 – Декомпозиция контекстной диаграммы</w:t>
      </w:r>
    </w:p>
    <w:p w14:paraId="31A2F8C8" w14:textId="4529D239" w:rsidR="00950B4E" w:rsidRPr="00950B4E" w:rsidRDefault="00950B4E" w:rsidP="00950B4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0B4E">
        <w:rPr>
          <w:rFonts w:ascii="Times New Roman" w:hAnsi="Times New Roman" w:cs="Times New Roman"/>
          <w:bCs/>
          <w:sz w:val="28"/>
          <w:szCs w:val="28"/>
        </w:rPr>
        <w:lastRenderedPageBreak/>
        <w:t>Один из процессов модели рассмотрен отдельно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(Рисунок 4)</w:t>
      </w:r>
      <w:r w:rsidRPr="00950B4E">
        <w:rPr>
          <w:rFonts w:ascii="Times New Roman" w:hAnsi="Times New Roman" w:cs="Times New Roman"/>
          <w:bCs/>
          <w:sz w:val="28"/>
          <w:szCs w:val="28"/>
        </w:rPr>
        <w:t xml:space="preserve"> и описан на более глубоком уровне. Такая декомпозиция позволяет проследить последовательность шагов и определить, какие именно документы преобразуются на каждом этапе.</w:t>
      </w:r>
    </w:p>
    <w:p w14:paraId="2FFA5366" w14:textId="1396E410" w:rsidR="00FD2E50" w:rsidRDefault="00FD2E50" w:rsidP="00FD2E5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592CDB" wp14:editId="1B34D990">
            <wp:extent cx="5929630" cy="4107815"/>
            <wp:effectExtent l="0" t="0" r="0" b="6985"/>
            <wp:docPr id="7247931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B068" w14:textId="3E9E1CAA" w:rsidR="00FD2E50" w:rsidRDefault="00FD2E50" w:rsidP="00FD2E5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4 – Декомпозиция одного из процессов</w:t>
      </w:r>
    </w:p>
    <w:p w14:paraId="77F7A72F" w14:textId="77777777" w:rsidR="00950B4E" w:rsidRDefault="00950B4E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6BEE61B" w14:textId="203AE005" w:rsidR="000205E5" w:rsidRDefault="00FB2992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0205E5">
        <w:rPr>
          <w:rFonts w:ascii="Times New Roman" w:hAnsi="Times New Roman" w:cs="Times New Roman"/>
          <w:b/>
          <w:sz w:val="28"/>
          <w:szCs w:val="28"/>
        </w:rPr>
        <w:t>Вывод</w:t>
      </w:r>
      <w:r w:rsidR="000205E5" w:rsidRPr="00950B4E">
        <w:rPr>
          <w:rFonts w:ascii="Times New Roman" w:hAnsi="Times New Roman" w:cs="Times New Roman"/>
          <w:b/>
          <w:sz w:val="28"/>
          <w:szCs w:val="28"/>
        </w:rPr>
        <w:t>:</w:t>
      </w:r>
    </w:p>
    <w:p w14:paraId="3EA9D353" w14:textId="5A5B0C83" w:rsidR="00950B4E" w:rsidRPr="00CC0203" w:rsidRDefault="00950B4E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Pr="00950B4E">
        <w:rPr>
          <w:rFonts w:ascii="Times New Roman" w:hAnsi="Times New Roman" w:cs="Times New Roman"/>
          <w:bCs/>
          <w:sz w:val="28"/>
          <w:szCs w:val="28"/>
        </w:rPr>
        <w:t>ходе практического занятия были освоены основы методологии IDEF0 и программного моделирования бизнес-процессов. Построенные диаграммы и таблицы позволили закрепить навыки описания потоков информации и ресурсов, а также выявления связей и объектов преобразования в рамках выбранного процесса</w:t>
      </w:r>
      <w:r w:rsidR="00CC0203" w:rsidRPr="00CC0203">
        <w:rPr>
          <w:rFonts w:ascii="Times New Roman" w:hAnsi="Times New Roman" w:cs="Times New Roman"/>
          <w:bCs/>
          <w:sz w:val="28"/>
          <w:szCs w:val="28"/>
        </w:rPr>
        <w:t>.</w:t>
      </w:r>
    </w:p>
    <w:p w14:paraId="41F00675" w14:textId="00BCC104" w:rsidR="00950B4E" w:rsidRPr="00950B4E" w:rsidRDefault="00773334" w:rsidP="00950B4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30348AE0" w14:textId="77777777" w:rsidR="00950B4E" w:rsidRPr="00950B4E" w:rsidRDefault="00950B4E" w:rsidP="00950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B4E">
        <w:rPr>
          <w:rFonts w:ascii="Times New Roman" w:hAnsi="Times New Roman" w:cs="Times New Roman"/>
          <w:sz w:val="28"/>
          <w:szCs w:val="28"/>
        </w:rPr>
        <w:t>1. Венди Б. Бооч, Джим Румбах, Адам Селкерс. Объектно-ориентированный анализ и проектирование с примерами приложений. — 3-е изд. — СПб.: Питер, 2012. — 720 с.</w:t>
      </w:r>
    </w:p>
    <w:p w14:paraId="6AC07B14" w14:textId="77777777" w:rsidR="00950B4E" w:rsidRPr="00950B4E" w:rsidRDefault="00950B4E" w:rsidP="00950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B4E">
        <w:rPr>
          <w:rFonts w:ascii="Times New Roman" w:hAnsi="Times New Roman" w:cs="Times New Roman"/>
          <w:sz w:val="28"/>
          <w:szCs w:val="28"/>
        </w:rPr>
        <w:t>2. Робертсон Ш., Робертсон С. Сбор требований в Agile-проектах. — М.: ДМК Пресс, 2013. — 218 с.</w:t>
      </w:r>
    </w:p>
    <w:p w14:paraId="753EA7F2" w14:textId="77777777" w:rsidR="00950B4E" w:rsidRPr="00950B4E" w:rsidRDefault="00950B4E" w:rsidP="00950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B4E">
        <w:rPr>
          <w:rFonts w:ascii="Times New Roman" w:hAnsi="Times New Roman" w:cs="Times New Roman"/>
          <w:sz w:val="28"/>
          <w:szCs w:val="28"/>
        </w:rPr>
        <w:t>3. ГОСТ 34.601-90. Автоматизированные системы. Стадии создания. — Взамен ГОСТ 34.601-85; введ. 1991-01-01. — М.: Издательство стандартов, 1991.</w:t>
      </w:r>
    </w:p>
    <w:p w14:paraId="7FBDEE83" w14:textId="77777777" w:rsidR="00950B4E" w:rsidRPr="00950B4E" w:rsidRDefault="00950B4E" w:rsidP="00950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B4E">
        <w:rPr>
          <w:rFonts w:ascii="Times New Roman" w:hAnsi="Times New Roman" w:cs="Times New Roman"/>
          <w:sz w:val="28"/>
          <w:szCs w:val="28"/>
        </w:rPr>
        <w:t>4. ГОСТ 19.701-90 (ИСО 5807-85). Схемы алгоритмов, программ, данных и систем. Условные обозначения и правила построения. — Взамен ГОСТ 19.002-80, ГОСТ 19.003-80; введ. 1992-01-01. — М.: Издательство стандартов, 1990.</w:t>
      </w:r>
    </w:p>
    <w:p w14:paraId="347424AE" w14:textId="77777777" w:rsidR="00950B4E" w:rsidRPr="00950B4E" w:rsidRDefault="00950B4E" w:rsidP="00950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B4E">
        <w:rPr>
          <w:rFonts w:ascii="Times New Roman" w:hAnsi="Times New Roman" w:cs="Times New Roman"/>
          <w:sz w:val="28"/>
          <w:szCs w:val="28"/>
        </w:rPr>
        <w:t>5. Методические указания к практическим занятиям по дисциплине "Моделирование бизнес-процессов". РТУ МИРЭА, Институт информационных технологий, Кафедра программной инженерии и информационных систем. — М., 2025.</w:t>
      </w:r>
    </w:p>
    <w:p w14:paraId="54B64859" w14:textId="66B0023F" w:rsidR="0084261A" w:rsidRPr="0084261A" w:rsidRDefault="00950B4E" w:rsidP="00950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B4E">
        <w:rPr>
          <w:rFonts w:ascii="Times New Roman" w:hAnsi="Times New Roman" w:cs="Times New Roman"/>
          <w:sz w:val="28"/>
          <w:szCs w:val="28"/>
        </w:rPr>
        <w:t>6. Лекционный материал по дисциплине "Моделирование бизнес-процессов". РТУ МИРЭА, 2025 учебный год.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823399705">
    <w:abstractNumId w:val="6"/>
  </w:num>
  <w:num w:numId="2" w16cid:durableId="1118180781">
    <w:abstractNumId w:val="11"/>
  </w:num>
  <w:num w:numId="3" w16cid:durableId="1461000844">
    <w:abstractNumId w:val="12"/>
  </w:num>
  <w:num w:numId="4" w16cid:durableId="499196486">
    <w:abstractNumId w:val="9"/>
  </w:num>
  <w:num w:numId="5" w16cid:durableId="18687166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36345964">
    <w:abstractNumId w:val="1"/>
  </w:num>
  <w:num w:numId="7" w16cid:durableId="436994175">
    <w:abstractNumId w:val="7"/>
  </w:num>
  <w:num w:numId="8" w16cid:durableId="1274167870">
    <w:abstractNumId w:val="3"/>
  </w:num>
  <w:num w:numId="9" w16cid:durableId="1015494822">
    <w:abstractNumId w:val="8"/>
  </w:num>
  <w:num w:numId="10" w16cid:durableId="1744372636">
    <w:abstractNumId w:val="2"/>
  </w:num>
  <w:num w:numId="11" w16cid:durableId="1081485287">
    <w:abstractNumId w:val="4"/>
  </w:num>
  <w:num w:numId="12" w16cid:durableId="1208835012">
    <w:abstractNumId w:val="0"/>
  </w:num>
  <w:num w:numId="13" w16cid:durableId="633100960">
    <w:abstractNumId w:val="10"/>
  </w:num>
  <w:num w:numId="14" w16cid:durableId="5292944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7BFB"/>
    <w:rsid w:val="000205E5"/>
    <w:rsid w:val="00020AAC"/>
    <w:rsid w:val="000214BA"/>
    <w:rsid w:val="000320C9"/>
    <w:rsid w:val="000419F0"/>
    <w:rsid w:val="000D4341"/>
    <w:rsid w:val="00162742"/>
    <w:rsid w:val="00182315"/>
    <w:rsid w:val="00282B48"/>
    <w:rsid w:val="002C148D"/>
    <w:rsid w:val="002C29E7"/>
    <w:rsid w:val="00326046"/>
    <w:rsid w:val="003568D7"/>
    <w:rsid w:val="003668A6"/>
    <w:rsid w:val="00367BF0"/>
    <w:rsid w:val="0044276D"/>
    <w:rsid w:val="00481C77"/>
    <w:rsid w:val="004A1CBC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0D94"/>
    <w:rsid w:val="00797825"/>
    <w:rsid w:val="008008A5"/>
    <w:rsid w:val="0084261A"/>
    <w:rsid w:val="00845A09"/>
    <w:rsid w:val="008920D1"/>
    <w:rsid w:val="008B7EDC"/>
    <w:rsid w:val="00950B4E"/>
    <w:rsid w:val="00955C60"/>
    <w:rsid w:val="00966F0F"/>
    <w:rsid w:val="0097644D"/>
    <w:rsid w:val="009D4239"/>
    <w:rsid w:val="009E64FD"/>
    <w:rsid w:val="00A272EE"/>
    <w:rsid w:val="00A53678"/>
    <w:rsid w:val="00A53E07"/>
    <w:rsid w:val="00A54BB4"/>
    <w:rsid w:val="00A62FC4"/>
    <w:rsid w:val="00AC4D1B"/>
    <w:rsid w:val="00AF15CC"/>
    <w:rsid w:val="00B1190C"/>
    <w:rsid w:val="00B218A9"/>
    <w:rsid w:val="00B437E9"/>
    <w:rsid w:val="00B61F70"/>
    <w:rsid w:val="00B77475"/>
    <w:rsid w:val="00B97BF0"/>
    <w:rsid w:val="00B97C75"/>
    <w:rsid w:val="00C46684"/>
    <w:rsid w:val="00CC0203"/>
    <w:rsid w:val="00CC2940"/>
    <w:rsid w:val="00CD75FF"/>
    <w:rsid w:val="00CE750F"/>
    <w:rsid w:val="00D159CB"/>
    <w:rsid w:val="00D4148A"/>
    <w:rsid w:val="00D45D73"/>
    <w:rsid w:val="00D7512E"/>
    <w:rsid w:val="00DF6BE5"/>
    <w:rsid w:val="00E12F48"/>
    <w:rsid w:val="00E8449B"/>
    <w:rsid w:val="00E97546"/>
    <w:rsid w:val="00EE3607"/>
    <w:rsid w:val="00F04BD1"/>
    <w:rsid w:val="00F55E09"/>
    <w:rsid w:val="00F70F03"/>
    <w:rsid w:val="00F76CC4"/>
    <w:rsid w:val="00FA0B44"/>
    <w:rsid w:val="00FB2992"/>
    <w:rsid w:val="00FD2E50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7E9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VeX EveryOne</cp:lastModifiedBy>
  <cp:revision>4</cp:revision>
  <cp:lastPrinted>2025-09-17T10:00:00Z</cp:lastPrinted>
  <dcterms:created xsi:type="dcterms:W3CDTF">2025-09-24T10:34:00Z</dcterms:created>
  <dcterms:modified xsi:type="dcterms:W3CDTF">2025-09-24T10:40:00Z</dcterms:modified>
</cp:coreProperties>
</file>