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4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iCs/>
                <w:noProof/>
                <w:color w:val="000000"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ascii="Times New Roman" w:hAnsi="Times New Roman" w:cs="Times New Roman"/>
                <w:b w:val="0"/>
                <w:i w:val="0"/>
                <w:caps/>
                <w:color w:val="000000"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i w:val="0"/>
                <w:snapToGrid w:val="0"/>
                <w:color w:val="00000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i w:val="0"/>
                <w:snapToGrid w:val="0"/>
                <w:color w:val="00000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i w:val="0"/>
                <w:snapToGrid w:val="0"/>
                <w:color w:val="00000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cs="Times New Roman" w:ascii="Times New Roman" w:hAnsi="Times New Roman"/>
                <w:b/>
                <w:i w:val="0"/>
                <w:snapToGrid w:val="0"/>
                <w:color w:val="00000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Times New Roman" w:ascii="Times New Roman" w:hAnsi="Times New Roman" w:cs="Times New Roman"/>
                <w:b/>
                <w:i w:val="0"/>
                <w:color w:val="000000"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Times New Roman" w:ascii="Times New Roman" w:hAnsi="Times New Roman" w:cs="Times New Roman"/>
                <w:b/>
                <w:i w:val="0"/>
                <w:iCs/>
                <w:noProof/>
                <w:color w:val="000000"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i w:val="0"/>
          <w:color w:val="000000"/>
          <w:sz w:val="28"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keepNext w:val="0"/>
        <w:widowControl/>
        <w:suppressAutoHyphens/>
        <w:spacing w:line="240" w:lineRule="auto" w:before="0" w:after="60"/>
        <w:ind w:left="0" w:righ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Кафедра квантовых информационных технологий, практической и прикладной информатики (ККИТПиПИ)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keepNext w:val="0"/>
        <w:widowControl/>
        <w:suppressAutoHyphens/>
        <w:spacing w:line="240" w:lineRule="auto" w:before="0" w:after="60"/>
        <w:ind w:left="0" w:firstLine="0" w:right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ОТЧЕТ ПО ПРАКТИЧЕСКОЙ РАБОТЕ</w:t>
      </w:r>
    </w:p>
    <w:p w14:paraId="3EDE2537" w14:textId="77777777" w:rsidR="002A2FAC" w:rsidRPr="00867FE9" w:rsidRDefault="002A2FAC" w:rsidP="002A2FAC">
      <w:pPr>
        <w:keepNext w:val="0"/>
        <w:widowControl/>
        <w:suppressAutoHyphens/>
        <w:spacing w:line="240" w:lineRule="auto" w:before="0" w:after="60"/>
        <w:ind w:left="0" w:firstLine="0" w:right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 дисциплине «Технологии и инструментарий анализа больших данных»</w:t>
      </w:r>
    </w:p>
    <w:p w14:paraId="6B467C3B" w14:textId="77777777" w:rsidR="002A2FAC" w:rsidRPr="00867FE9" w:rsidRDefault="002A2FAC" w:rsidP="002A2FAC">
      <w:pPr>
        <w:keepNext w:val="0"/>
        <w:widowControl/>
        <w:suppressAutoHyphens/>
        <w:spacing w:line="240" w:lineRule="auto" w:before="0" w:after="60"/>
        <w:ind w:left="0" w:firstLine="0" w:right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№2</w:t>
        <w:br/>
        <w:t>Система хранения данных</w:t>
      </w: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Студент группы</w:t>
            </w:r>
          </w:p>
        </w:tc>
        <w:tc>
          <w:tcPr>
            <w:tcW w:w="4819" w:type="dxa"/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keepNext w:val="0"/>
              <w:widowControl/>
              <w:pBdr>
                <w:bottom w:val="single" w:sz="12" w:space="1" w:color="auto"/>
              </w:pBdr>
              <w:suppressAutoHyphens/>
              <w:spacing w:line="240" w:lineRule="auto" w:before="0" w:after="0"/>
              <w:ind w:left="0" w:righ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keepNext w:val="0"/>
              <w:widowControl/>
              <w:suppressAutoHyphens/>
              <w:spacing w:line="240" w:lineRule="auto" w:before="0" w:after="0"/>
              <w:ind w:left="0" w:righ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24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keepNext w:val="0"/>
              <w:widowControl/>
              <w:suppressAutoHyphens/>
              <w:spacing w:line="240" w:lineRule="auto" w:before="0" w:after="0"/>
              <w:ind w:left="0" w:righ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keepNext w:val="0"/>
              <w:widowControl/>
              <w:suppressAutoHyphens/>
              <w:spacing w:line="240" w:lineRule="auto" w:before="0" w:after="0"/>
              <w:ind w:left="0" w:firstLine="0" w:right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keepNext w:val="0"/>
              <w:widowControl/>
              <w:suppressAutoHyphens/>
              <w:spacing w:line="240" w:lineRule="auto" w:before="0" w:after="0"/>
              <w:ind w:left="0" w:firstLine="0" w:right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Приходько Н.А.</w:t>
            </w: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keepNext w:val="0"/>
              <w:widowControl/>
              <w:pBdr>
                <w:bottom w:val="single" w:sz="12" w:space="1" w:color="auto"/>
              </w:pBdr>
              <w:suppressAutoHyphens/>
              <w:spacing w:line="240" w:lineRule="auto" w:before="0" w:after="0"/>
              <w:ind w:left="0" w:righ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keepNext w:val="0"/>
              <w:widowControl/>
              <w:pBdr>
                <w:bottom w:val="single" w:sz="12" w:space="1" w:color="auto"/>
              </w:pBdr>
              <w:suppressAutoHyphens/>
              <w:spacing w:line="240" w:lineRule="auto" w:before="0" w:after="0"/>
              <w:ind w:left="0" w:righ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keepNext w:val="0"/>
              <w:widowControl/>
              <w:suppressAutoHyphens/>
              <w:spacing w:line="240" w:lineRule="auto" w:before="0" w:after="0"/>
              <w:ind w:left="0" w:righ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24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keepNext w:val="0"/>
              <w:widowControl/>
              <w:suppressAutoHyphens/>
              <w:spacing w:line="240" w:lineRule="auto" w:before="0" w:after="0"/>
              <w:ind w:left="0" w:righ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keepNext w:val="0"/>
              <w:widowControl/>
              <w:suppressAutoHyphens/>
              <w:spacing w:line="240" w:lineRule="auto" w:before="0" w:after="0"/>
              <w:ind w:left="0" w:firstLine="0" w:right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keepNext w:val="0"/>
              <w:widowControl/>
              <w:suppressAutoHyphens/>
              <w:spacing w:line="240" w:lineRule="auto" w:before="0" w:after="0"/>
              <w:ind w:left="0" w:righ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keepNext w:val="0"/>
              <w:widowControl/>
              <w:suppressAutoHyphens/>
              <w:spacing w:line="240" w:lineRule="auto" w:before="0" w:after="0"/>
              <w:ind w:left="0" w:righ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default" r:id="rId28"/>
          <w:headerReference w:type="first" r:id="rId29"/>
          <w:footerReference w:type="default" r:id="rId30"/>
          <w:footerReference w:type="first" r:id="rId31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 Цель и выполненные задания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 работы — развернуть систему хранения данных на Ubuntu Server, установить Arenadata PostgreSQL через Arenadata Cluster Manager, загрузить связанные CSV Olist в базу ecommerce, выполнить аналитические SQL-задания и представить результаты на дашборде Grafana.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Выполнены настройка виртуальной машины и сети, установка официальных бандлов SSH Common и ADPG, создание public-схемы, импорт 11 таблиц, четыре аналитических запроса, четыре обязательные и две дополнительные панели. Результаты получены на стенде 18 октября 2026 года.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 Виртуальная инфраструктура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1.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1 – Конфигурация виртуальной машины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6520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Имя ВМ</w:t>
            </w:r>
          </w:p>
        </w:tc>
        <w:tc>
          <w:tcPr>
            <w:tcW w:type="dxa" w:w="652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TIABD-Albakhtin-IV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</w:t>
            </w:r>
          </w:p>
        </w:tc>
        <w:tc>
          <w:tcPr>
            <w:tcW w:type="dxa" w:w="652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Ubuntu Server 22.04.5 LTS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Ресурсы</w:t>
            </w:r>
          </w:p>
        </w:tc>
        <w:tc>
          <w:tcPr>
            <w:tcW w:type="dxa" w:w="652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 vCPU; 4 ГБ RAM; диск 40 ГБ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Адаптер 1</w:t>
            </w:r>
          </w:p>
        </w:tc>
        <w:tc>
          <w:tcPr>
            <w:tcW w:type="dxa" w:w="652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NAT; 10.0.2.15/24; доступ в Интернет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Адаптер 2</w:t>
            </w:r>
          </w:p>
        </w:tc>
        <w:tc>
          <w:tcPr>
            <w:tcW w:type="dxa" w:w="652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Host-Only; 192.168.56.103/24; доступ с Windows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Хост и пользователь</w:t>
            </w:r>
          </w:p>
        </w:tc>
        <w:tc>
          <w:tcPr>
            <w:tcW w:type="dxa" w:w="652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tiabd-albakhtin-iv; albakhtin</w:t>
            </w:r>
          </w:p>
        </w:tc>
      </w:tr>
    </w:tbl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1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298370852" name="Picture 298370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1 – Параметры Ubuntu Server и два сетевых адаптера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 Установка официального кластера Arenadata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ADCM 2.12.0 загружены официальный бандл ADPG 16.3_arenadata6.5_b2-1 Community и SSH Common 2.14-1 с downloads.arenadata.io. Созданы SSH-хостпровайдер, хост 192.168.56.103 и кластер TIABD Albakhtin IV ADPG. В выбранном бандле продукт отображается как ADP, а служба СУБД — ADPG.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единственный учебный хост назначены ADPG, NTP Master, Prometheus Server, Grafana, Node Exporter и ADPG Exporters. Действие Install выполнено через ADCM и завершилось со статусом success. ADCM и его служебная база работают в Docker; ADPG и мониторинг установлены официальным бандлом как системные службы Ubuntu.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2.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2 – Установленные пакеты Arenadata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rPr>
          <w:cantSplit/>
          <w:tblHeader/>
        </w:trPr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Пакет</w:t>
            </w:r>
          </w:p>
        </w:tc>
        <w:tc>
          <w:tcPr>
            <w:tcW w:type="dxa" w:w="5953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Фактическая версия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admprom-grafana</w:t>
            </w:r>
          </w:p>
        </w:tc>
        <w:tc>
          <w:tcPr>
            <w:tcW w:type="dxa" w:w="5953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9.5.8-121+gitf31caed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admprom-prometheus</w:t>
            </w:r>
          </w:p>
        </w:tc>
        <w:tc>
          <w:tcPr>
            <w:tcW w:type="dxa" w:w="5953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2.53.3-121+git1491d29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adpg16</w:t>
            </w:r>
          </w:p>
        </w:tc>
        <w:tc>
          <w:tcPr>
            <w:tcW w:type="dxa" w:w="5953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16.3-arenadata1-102+git05ffe93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adpg16-pgwatch2</w:t>
            </w:r>
          </w:p>
        </w:tc>
        <w:tc>
          <w:tcPr>
            <w:tcW w:type="dxa" w:w="5953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1.14.0-arenadata1-222+git7fa4679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adpg16-server</w:t>
            </w:r>
          </w:p>
        </w:tc>
        <w:tc>
          <w:tcPr>
            <w:tcW w:type="dxa" w:w="5953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16.3-arenadata1-102+git05ffe93</w:t>
            </w:r>
          </w:p>
        </w:tc>
      </w:tr>
    </w:tbl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2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298370853" name="Picture 298370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rvic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2 – Службы ADPG и мониторинга и версии пакетов Arenadata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3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98370854" name="Picture 298370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c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3 – Страница Cluster Overview со статусами служб официального кластера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3.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3 – Доступ к сервисам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Сервис</w:t>
            </w:r>
          </w:p>
        </w:tc>
        <w:tc>
          <w:tcPr>
            <w:tcW w:type="dxa" w:w="6520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Адрес с Windows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ADCM</w:t>
            </w:r>
          </w:p>
        </w:tc>
        <w:tc>
          <w:tcPr>
            <w:tcW w:type="dxa" w:w="6520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http://127.0.0.1:8001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ADPG</w:t>
            </w:r>
          </w:p>
        </w:tc>
        <w:tc>
          <w:tcPr>
            <w:tcW w:type="dxa" w:w="6520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127.0.0.1:5433; ecommerce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Prometheus</w:t>
            </w:r>
          </w:p>
        </w:tc>
        <w:tc>
          <w:tcPr>
            <w:tcW w:type="dxa" w:w="6520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http://192.168.56.103:11200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Grafana</w:t>
            </w:r>
          </w:p>
        </w:tc>
        <w:tc>
          <w:tcPr>
            <w:tcW w:type="dxa" w:w="6520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http://127.0.0.1:11211</w:t>
            </w:r>
          </w:p>
        </w:tc>
      </w:tr>
    </w:tbl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 Схема и импорт данных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Сначала созданы таблицы public, первичные и внешние ключи, затем импортированы CSV. Данные загружены в порядке зависимостей: sellers, customers, geolocation, leads_qualified, product_category_name_translation, leads_closed, products, orders, order_items, order_reviews, order_payments. В методичке leads_closed повторяется в перечне; повторный импорт одной таблицы не выполняется, а leads_qualified необходима как родительская таблица маркетинговых лидов.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Исходные CSV сохранены без изменения. Для двух отсутствующих категорий добавлены записи словаря с NULL-переводом. Ссылки leads_closed на продавцов, отсутствующих в sellers, заменены на NULL при переносе из staging-таблицы. Остальные значения и число строк сохранены. Загрузка схемы и данных выполнена в одной транзакции с ON_ERROR_STOP; после импорта выполнен ANALYZE.</w:t>
      </w:r>
    </w:p>
    <w:p>
      <w:pPr>
        <w:pStyle w:val="ReportCode"/>
        <w:keepNext w:val="0"/>
        <w:widowControl/>
        <w:spacing w:line="240" w:lineRule="auto" w:before="80" w:after="120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sudo -u postgres /usr/lib/adpg16/bin/psql -h /tmp -d ecommerce \</w:t>
        <w:br/>
        <w:t xml:space="preserve">  -v ON_ERROR_STOP=1 -1 -f schema.sql -f load.sql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4.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4 – Количество импортированных строк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3118"/>
      </w:tblGrid>
      <w:tr>
        <w:trPr>
          <w:cantSplit/>
          <w:tblHeader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Таблица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Строк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customers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99 441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geolocation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1 000 163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leads_closed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842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leads_qualified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8 000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order_items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112 650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order_payments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103 886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order_reviews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100 000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orders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99 441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product_category_name_translation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73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products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32 951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sellers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3 095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1 560 542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Проверены 11 первичных и 9 внешних ключей; все внешние ключи имеют convalidated=true. Схема получена непосредственно из системного каталога работающей базы командой show_schema.sql. Геолокация содержит несколько строк на почтовый индекс, поэтому индекс почты не используется как уникальный родительский ключ.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4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298370855" name="Picture 298370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4 – Таблицы и связи public-схемы в консоли psql установленного ADPG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 Аналитические SQL-задания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5.1 Топ категорий по выручке</w:t>
      </w:r>
    </w:p>
    <w:p>
      <w:pPr>
        <w:pStyle w:val="ReportCode"/>
        <w:keepNext w:val="0"/>
        <w:widowControl/>
        <w:spacing w:line="240" w:lineRule="auto" w:before="80" w:after="120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-- 1. Top 10 categories by revenue with English translation.</w:t>
        <w:br/>
        <w:t>SELECT</w:t>
        <w:br/>
        <w:t xml:space="preserve">  p.product_category_name,</w:t>
        <w:br/>
        <w:t xml:space="preserve">  COALESCE(t.product_category_name_english, 'not translated') AS category_en,</w:t>
        <w:br/>
        <w:t xml:space="preserve">  ROUND(SUM(oi.price), 2) AS revenue,</w:t>
        <w:br/>
        <w:t xml:space="preserve">  COUNT(DISTINCT oi.order_id) AS orders_count,</w:t>
        <w:br/>
        <w:t xml:space="preserve">  COUNT(*) AS items_count</w:t>
        <w:br/>
        <w:t>FROM order_items oi</w:t>
        <w:br/>
        <w:t>JOIN products p ON p.product_id = oi.product_id</w:t>
        <w:br/>
        <w:t>LEFT JOIN product_category_name_translation t</w:t>
        <w:br/>
        <w:t xml:space="preserve">  ON t.product_category_name = p.product_category_name</w:t>
        <w:br/>
        <w:t>GROUP BY p.product_category_name, t.product_category_name_english</w:t>
        <w:br/>
        <w:t>ORDER BY revenue DESC</w:t>
        <w:br/>
        <w:t>LIMIT 10;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5.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5 – Топ категорий по выручке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324"/>
        <w:gridCol w:w="1701"/>
        <w:gridCol w:w="1417"/>
        <w:gridCol w:w="1417"/>
      </w:tblGrid>
      <w:tr>
        <w:trPr>
          <w:cantSplit/>
          <w:tblHeader/>
        </w:trPr>
        <w:tc>
          <w:tcPr>
            <w:tcW w:type="dxa" w:w="249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Категория</w:t>
            </w:r>
          </w:p>
        </w:tc>
        <w:tc>
          <w:tcPr>
            <w:tcW w:type="dxa" w:w="232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Перевод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Выручка R$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Заказы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Позиции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beleza_​saude</w:t>
            </w:r>
          </w:p>
        </w:tc>
        <w:tc>
          <w:tcPr>
            <w:tcW w:type="dxa" w:w="232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health_​beauty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1 258 681,34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8 836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9 670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relogios_​presentes</w:t>
            </w:r>
          </w:p>
        </w:tc>
        <w:tc>
          <w:tcPr>
            <w:tcW w:type="dxa" w:w="232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watches_​gifts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1 205 005,68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5 624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5 991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cama_​mesa_​banho</w:t>
            </w:r>
          </w:p>
        </w:tc>
        <w:tc>
          <w:tcPr>
            <w:tcW w:type="dxa" w:w="232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bed_​bath_​table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1 036 988,68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9 417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11 115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esporte_​lazer</w:t>
            </w:r>
          </w:p>
        </w:tc>
        <w:tc>
          <w:tcPr>
            <w:tcW w:type="dxa" w:w="232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sports_​leisure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988 048,97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7 720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8 641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informatica_​acessorios</w:t>
            </w:r>
          </w:p>
        </w:tc>
        <w:tc>
          <w:tcPr>
            <w:tcW w:type="dxa" w:w="232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computers_​accessories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911 954,32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6 689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7 827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moveis_​decoracao</w:t>
            </w:r>
          </w:p>
        </w:tc>
        <w:tc>
          <w:tcPr>
            <w:tcW w:type="dxa" w:w="232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furniture_​decor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729 762,49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6 449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8 334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cool_​stuff</w:t>
            </w:r>
          </w:p>
        </w:tc>
        <w:tc>
          <w:tcPr>
            <w:tcW w:type="dxa" w:w="232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cool_​stuff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635 290,85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3 632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3 796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utilidades_​domesticas</w:t>
            </w:r>
          </w:p>
        </w:tc>
        <w:tc>
          <w:tcPr>
            <w:tcW w:type="dxa" w:w="232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housewares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632 248,66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5 884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6 964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automotivo</w:t>
            </w:r>
          </w:p>
        </w:tc>
        <w:tc>
          <w:tcPr>
            <w:tcW w:type="dxa" w:w="232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auto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592 720,11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3 897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4 235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ferramentas_​jardim</w:t>
            </w:r>
          </w:p>
        </w:tc>
        <w:tc>
          <w:tcPr>
            <w:tcW w:type="dxa" w:w="232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garden_​tools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485 256,46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3 518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4 347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Лидирует категория health_beauty: 1 258 681,34 R$. Выручка определяется как SUM(price), без доставки. Заказы считаются по уникальному order_id, позиции — по строкам order_items.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5.2 Платёжное поведение</w:t>
      </w:r>
    </w:p>
    <w:p>
      <w:pPr>
        <w:pStyle w:val="ReportCode"/>
        <w:keepNext w:val="0"/>
        <w:widowControl/>
        <w:spacing w:line="240" w:lineRule="auto" w:before="80" w:after="120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-- 2. Payment behaviour.</w:t>
        <w:br/>
        <w:t>SELECT</w:t>
        <w:br/>
        <w:t xml:space="preserve">  payment_type,</w:t>
        <w:br/>
        <w:t xml:space="preserve">  COUNT(*) AS payments_count,</w:t>
        <w:br/>
        <w:t xml:space="preserve">  ROUND(AVG(payment_installments), 2) AS avg_installments,</w:t>
        <w:br/>
        <w:t xml:space="preserve">  ROUND(AVG(payment_value), 2) AS avg_payment,</w:t>
        <w:br/>
        <w:t xml:space="preserve">  ROUND(100.0 * COUNT(DISTINCT order_id)</w:t>
        <w:br/>
        <w:t xml:space="preserve">    / (SELECT COUNT(DISTINCT order_id) FROM order_payments), 2) AS order_share_pct</w:t>
        <w:br/>
        <w:t>FROM order_payments</w:t>
        <w:br/>
        <w:t>GROUP BY payment_type</w:t>
        <w:br/>
        <w:t>ORDER BY payments_count DESC;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6.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6 – Платёжное поведение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984"/>
        <w:gridCol w:w="1984"/>
      </w:tblGrid>
      <w:tr>
        <w:trPr>
          <w:cantSplit/>
          <w:tblHeader/>
        </w:trPr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Платежи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Рассрочки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Средний R$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Заказы 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credit_​card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76 795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3,51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163,32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76,94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boleto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19 784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145,03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19,90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voucher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5 775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65,70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3,89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debit_​card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1 529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142,57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1,54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not_​defined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0,00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Самый распространённый способ оплаты — credit_card. Знаменатель доли — число уникальных заказов с известной оплатой. Один заказ может использовать несколько способов, поэтому сумма долей не обязана равняться 100 %. Число рассрочек усредняется по платёжным записям.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5.3 Оценка и скорость доставки</w:t>
      </w:r>
    </w:p>
    <w:p>
      <w:pPr>
        <w:pStyle w:val="ReportCode"/>
        <w:keepNext w:val="0"/>
        <w:widowControl/>
        <w:spacing w:line="240" w:lineRule="auto" w:before="80" w:after="120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-- 3. Review score depending on delivery speed.</w:t>
        <w:br/>
        <w:t>WITH reviews AS (</w:t>
        <w:br/>
        <w:t xml:space="preserve">  SELECT order_id, AVG(review_score) AS review_score</w:t>
        <w:br/>
        <w:t xml:space="preserve">  FROM order_reviews</w:t>
        <w:br/>
        <w:t xml:space="preserve">  GROUP BY order_id</w:t>
        <w:br/>
        <w:t>), delivery AS (</w:t>
        <w:br/>
        <w:t xml:space="preserve">  SELECT</w:t>
        <w:br/>
        <w:t xml:space="preserve">    o.order_id,</w:t>
        <w:br/>
        <w:t xml:space="preserve">    CASE</w:t>
        <w:br/>
        <w:t xml:space="preserve">      WHEN o.order_delivered_customer_date::date - o.order_purchase_timestamp::date &lt;= 5 THEN 'up to 5 days'</w:t>
        <w:br/>
        <w:t xml:space="preserve">      WHEN o.order_delivered_customer_date::date - o.order_purchase_timestamp::date &lt;= 10 THEN '6-10 days'</w:t>
        <w:br/>
        <w:t xml:space="preserve">      ELSE 'more than 10 days'</w:t>
        <w:br/>
        <w:t xml:space="preserve">    END AS delivery_group,</w:t>
        <w:br/>
        <w:t xml:space="preserve">    CASE</w:t>
        <w:br/>
        <w:t xml:space="preserve">      WHEN o.order_delivered_customer_date::date - o.order_purchase_timestamp::date &lt;= 5 THEN 1</w:t>
        <w:br/>
        <w:t xml:space="preserve">      WHEN o.order_delivered_customer_date::date - o.order_purchase_timestamp::date &lt;= 10 THEN 2</w:t>
        <w:br/>
        <w:t xml:space="preserve">      ELSE 3</w:t>
        <w:br/>
        <w:t xml:space="preserve">    END AS sort_order,</w:t>
        <w:br/>
        <w:t xml:space="preserve">    r.review_score</w:t>
        <w:br/>
        <w:t xml:space="preserve">  FROM orders o</w:t>
        <w:br/>
        <w:t xml:space="preserve">  JOIN reviews r ON r.order_id = o.order_id</w:t>
        <w:br/>
        <w:t xml:space="preserve">  WHERE o.order_delivered_customer_date IS NOT NULL</w:t>
        <w:br/>
        <w:t>)</w:t>
        <w:br/>
        <w:t>SELECT delivery_group,</w:t>
        <w:br/>
        <w:t xml:space="preserve">       COUNT(DISTINCT order_id) AS orders_count,</w:t>
        <w:br/>
        <w:t xml:space="preserve">       ROUND(AVG(review_score), 2) AS avg_review_score</w:t>
        <w:br/>
        <w:t>FROM delivery</w:t>
        <w:br/>
        <w:t>GROUP BY delivery_group, sort_order</w:t>
        <w:br/>
        <w:t>ORDER BY sort_order;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7.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7 – Оценка и скорость доставки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551"/>
        <w:gridCol w:w="2835"/>
      </w:tblGrid>
      <w:tr>
        <w:trPr>
          <w:cantSplit/>
          <w:tblHeader/>
        </w:trPr>
        <w:tc>
          <w:tcPr>
            <w:tcW w:type="dxa" w:w="3969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Интервал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Заказы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Средняя оценка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up to 5 days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16 707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4,43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6-10 days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33 161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4,34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more than 10 days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46 608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3,90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Длительность рассчитана как разность календарных дат доставки и покупки. Отзывы усреднены до одного значения на заказ, чтобы несколько отзывов не увеличивали его вес. Заказы без даты доставки исключены. При увеличении длительности средняя оценка снижается; наблюдаемая связь не доказывает причинность.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5.4 Эффективность продавцов</w:t>
      </w:r>
    </w:p>
    <w:p>
      <w:pPr>
        <w:pStyle w:val="ReportCode"/>
        <w:keepNext w:val="0"/>
        <w:widowControl/>
        <w:spacing w:line="240" w:lineRule="auto" w:before="80" w:after="120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-- 4. Top 10 sellers by number of orders.</w:t>
        <w:br/>
        <w:t>SELECT</w:t>
        <w:br/>
        <w:t xml:space="preserve">  oi.seller_id,</w:t>
        <w:br/>
        <w:t xml:space="preserve">  COUNT(DISTINCT oi.order_id) AS orders_count,</w:t>
        <w:br/>
        <w:t xml:space="preserve">  COUNT(DISTINCT c.customer_unique_id) AS customers_count,</w:t>
        <w:br/>
        <w:t xml:space="preserve">  COUNT(*) AS items_count,</w:t>
        <w:br/>
        <w:t xml:space="preserve">  ROUND(SUM(oi.price), 2) AS revenue,</w:t>
        <w:br/>
        <w:t xml:space="preserve">  ROUND(AVG(oi.freight_value), 2) AS avg_freight</w:t>
        <w:br/>
        <w:t>FROM order_items oi</w:t>
        <w:br/>
        <w:t>JOIN orders o ON o.order_id = oi.order_id</w:t>
        <w:br/>
        <w:t>JOIN customers c ON c.customer_id = o.customer_id</w:t>
        <w:br/>
        <w:t>GROUP BY oi.seller_id</w:t>
        <w:br/>
        <w:t>ORDER BY orders_count DESC, revenue DESC</w:t>
        <w:br/>
        <w:t>LIMIT 10;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8.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8 – Эффективность продавцов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077"/>
        <w:gridCol w:w="1474"/>
        <w:gridCol w:w="1191"/>
        <w:gridCol w:w="2098"/>
        <w:gridCol w:w="1984"/>
      </w:tblGrid>
      <w:tr>
        <w:trPr>
          <w:cantSplit/>
          <w:tblHeader/>
        </w:trPr>
        <w:tc>
          <w:tcPr>
            <w:tcW w:type="dxa" w:w="153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Продавец</w:t>
            </w:r>
          </w:p>
        </w:tc>
        <w:tc>
          <w:tcPr>
            <w:tcW w:type="dxa" w:w="107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Заказы</w:t>
            </w:r>
          </w:p>
        </w:tc>
        <w:tc>
          <w:tcPr>
            <w:tcW w:type="dxa" w:w="147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Клиенты</w:t>
            </w:r>
          </w:p>
        </w:tc>
        <w:tc>
          <w:tcPr>
            <w:tcW w:type="dxa" w:w="119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Позиции</w:t>
            </w:r>
          </w:p>
        </w:tc>
        <w:tc>
          <w:tcPr>
            <w:tcW w:type="dxa" w:w="209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Оборот R$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Доставка R$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6560211a</w:t>
            </w:r>
          </w:p>
        </w:tc>
        <w:tc>
          <w:tcPr>
            <w:tcW w:type="dxa" w:w="107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1 854</w:t>
            </w:r>
          </w:p>
        </w:tc>
        <w:tc>
          <w:tcPr>
            <w:tcW w:type="dxa" w:w="147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1 824</w:t>
            </w:r>
          </w:p>
        </w:tc>
        <w:tc>
          <w:tcPr>
            <w:tcW w:type="dxa" w:w="119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2 033</w:t>
            </w:r>
          </w:p>
        </w:tc>
        <w:tc>
          <w:tcPr>
            <w:tcW w:type="dxa" w:w="209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123 304,83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13,75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4a3ca931</w:t>
            </w:r>
          </w:p>
        </w:tc>
        <w:tc>
          <w:tcPr>
            <w:tcW w:type="dxa" w:w="107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1 806</w:t>
            </w:r>
          </w:p>
        </w:tc>
        <w:tc>
          <w:tcPr>
            <w:tcW w:type="dxa" w:w="147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1 792</w:t>
            </w:r>
          </w:p>
        </w:tc>
        <w:tc>
          <w:tcPr>
            <w:tcW w:type="dxa" w:w="119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1 987</w:t>
            </w:r>
          </w:p>
        </w:tc>
        <w:tc>
          <w:tcPr>
            <w:tcW w:type="dxa" w:w="209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200 472,92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17,65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cc419e06</w:t>
            </w:r>
          </w:p>
        </w:tc>
        <w:tc>
          <w:tcPr>
            <w:tcW w:type="dxa" w:w="107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1 706</w:t>
            </w:r>
          </w:p>
        </w:tc>
        <w:tc>
          <w:tcPr>
            <w:tcW w:type="dxa" w:w="147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1 657</w:t>
            </w:r>
          </w:p>
        </w:tc>
        <w:tc>
          <w:tcPr>
            <w:tcW w:type="dxa" w:w="119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1 775</w:t>
            </w:r>
          </w:p>
        </w:tc>
        <w:tc>
          <w:tcPr>
            <w:tcW w:type="dxa" w:w="209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104 288,42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14,46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1f50f920</w:t>
            </w:r>
          </w:p>
        </w:tc>
        <w:tc>
          <w:tcPr>
            <w:tcW w:type="dxa" w:w="107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1 404</w:t>
            </w:r>
          </w:p>
        </w:tc>
        <w:tc>
          <w:tcPr>
            <w:tcW w:type="dxa" w:w="147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1 388</w:t>
            </w:r>
          </w:p>
        </w:tc>
        <w:tc>
          <w:tcPr>
            <w:tcW w:type="dxa" w:w="119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1 931</w:t>
            </w:r>
          </w:p>
        </w:tc>
        <w:tc>
          <w:tcPr>
            <w:tcW w:type="dxa" w:w="209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106 939,21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18,21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da8622b1</w:t>
            </w:r>
          </w:p>
        </w:tc>
        <w:tc>
          <w:tcPr>
            <w:tcW w:type="dxa" w:w="107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1 314</w:t>
            </w:r>
          </w:p>
        </w:tc>
        <w:tc>
          <w:tcPr>
            <w:tcW w:type="dxa" w:w="147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1 275</w:t>
            </w:r>
          </w:p>
        </w:tc>
        <w:tc>
          <w:tcPr>
            <w:tcW w:type="dxa" w:w="119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1 551</w:t>
            </w:r>
          </w:p>
        </w:tc>
        <w:tc>
          <w:tcPr>
            <w:tcW w:type="dxa" w:w="209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160 236,57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16,09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955fee92</w:t>
            </w:r>
          </w:p>
        </w:tc>
        <w:tc>
          <w:tcPr>
            <w:tcW w:type="dxa" w:w="107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1 287</w:t>
            </w:r>
          </w:p>
        </w:tc>
        <w:tc>
          <w:tcPr>
            <w:tcW w:type="dxa" w:w="147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1 282</w:t>
            </w:r>
          </w:p>
        </w:tc>
        <w:tc>
          <w:tcPr>
            <w:tcW w:type="dxa" w:w="119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1 499</w:t>
            </w:r>
          </w:p>
        </w:tc>
        <w:tc>
          <w:tcPr>
            <w:tcW w:type="dxa" w:w="209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135 171,70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16,97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7a67c85e</w:t>
            </w:r>
          </w:p>
        </w:tc>
        <w:tc>
          <w:tcPr>
            <w:tcW w:type="dxa" w:w="107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1 160</w:t>
            </w:r>
          </w:p>
        </w:tc>
        <w:tc>
          <w:tcPr>
            <w:tcW w:type="dxa" w:w="147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1 155</w:t>
            </w:r>
          </w:p>
        </w:tc>
        <w:tc>
          <w:tcPr>
            <w:tcW w:type="dxa" w:w="119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1 171</w:t>
            </w:r>
          </w:p>
        </w:tc>
        <w:tc>
          <w:tcPr>
            <w:tcW w:type="dxa" w:w="209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141 745,53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17,85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ea8482cd</w:t>
            </w:r>
          </w:p>
        </w:tc>
        <w:tc>
          <w:tcPr>
            <w:tcW w:type="dxa" w:w="107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1 146</w:t>
            </w:r>
          </w:p>
        </w:tc>
        <w:tc>
          <w:tcPr>
            <w:tcW w:type="dxa" w:w="147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1 133</w:t>
            </w:r>
          </w:p>
        </w:tc>
        <w:tc>
          <w:tcPr>
            <w:tcW w:type="dxa" w:w="119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1 203</w:t>
            </w:r>
          </w:p>
        </w:tc>
        <w:tc>
          <w:tcPr>
            <w:tcW w:type="dxa" w:w="209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37 177,52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14,58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4869f7a5</w:t>
            </w:r>
          </w:p>
        </w:tc>
        <w:tc>
          <w:tcPr>
            <w:tcW w:type="dxa" w:w="107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1 132</w:t>
            </w:r>
          </w:p>
        </w:tc>
        <w:tc>
          <w:tcPr>
            <w:tcW w:type="dxa" w:w="147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1 124</w:t>
            </w:r>
          </w:p>
        </w:tc>
        <w:tc>
          <w:tcPr>
            <w:tcW w:type="dxa" w:w="119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1 156</w:t>
            </w:r>
          </w:p>
        </w:tc>
        <w:tc>
          <w:tcPr>
            <w:tcW w:type="dxa" w:w="209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229 472,63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17,45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3d871de0</w:t>
            </w:r>
          </w:p>
        </w:tc>
        <w:tc>
          <w:tcPr>
            <w:tcW w:type="dxa" w:w="107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1 080</w:t>
            </w:r>
          </w:p>
        </w:tc>
        <w:tc>
          <w:tcPr>
            <w:tcW w:type="dxa" w:w="147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1 074</w:t>
            </w:r>
          </w:p>
        </w:tc>
        <w:tc>
          <w:tcPr>
            <w:tcW w:type="dxa" w:w="119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1 147</w:t>
            </w:r>
          </w:p>
        </w:tc>
        <w:tc>
          <w:tcPr>
            <w:tcW w:type="dxa" w:w="209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94 914,20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19,56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таблице показаны первые восемь символов seller_id; полные идентификаторы сохранены в storage.json. Покупатели считаются по customer_unique_id. Последний столбец содержит среднее значение freight_value на товарную позицию. Рейтинг отсортирован по числу уникальных заказов, затем по обороту.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 Визуализация в Grafana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Создан источник PostgreSQL ecommerce-postgres с подключением к установленному ADPG и пользователем только для чтения public-схемы. Проверка источника возвращает OK. Дашборд включает месячную динамику уникальных заказов, распределение заказов по оценкам, способы оплаты, топ-10 категорий по обороту и две дополнительные панели: суммарную стоимость товарных позиций и число уникальных покупателей.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5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98370856" name="Picture 298370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rafa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5 – Общий дашборд ecommerce с шестью панелями в Grafana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6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98370857" name="Picture 298370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rafana_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6 – Дополнительная визуализация оборота товарных позиций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7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98370858" name="Picture 298370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rafana_bu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7 – Дополнительная визуализация числа уникальных покупателей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9.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9 – Контрольные показатели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3402"/>
      </w:tblGrid>
      <w:tr>
        <w:trPr>
          <w:cantSplit/>
          <w:tblHeader/>
        </w:trPr>
        <w:tc>
          <w:tcPr>
            <w:tcW w:type="dxa" w:w="5953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Оборот товарных позиций</w:t>
            </w:r>
          </w:p>
        </w:tc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13 591 643,70 R$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Уникальные покупатели</w:t>
            </w:r>
          </w:p>
        </w:tc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96 096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Grafana datasource health</w:t>
            </w:r>
          </w:p>
        </w:tc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OK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Доступность целей Prometheus</w:t>
            </w:r>
          </w:p>
        </w:tc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из 3; up = 1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Линейный график показывает изменение числа заказов по месяцам. Наиболее многочисленна оценка 5; при чтении столбцов учитывается число уникальных заказов для каждой оценки. Круговая диаграмма отображает распределение вхождений способов оплаты в заказы. Горизонтальные столбцы позволяют сравнить оборот категорий. Дополнительные показатели описывают общий масштаб набора данных.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 Выводы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Официальный кластер Arenadata развёрнут через ADCM на Ubuntu Server с двумя сетевыми адаптерами. Установлены пакеты ADPG, настроены мониторинг и источник Grafana. В ecommerce загружены 11 связанных таблиц; целостность подтверждена первичными и внешними ключами. Выполнены четыре SQL-задания и построен дашборд из шести панелей. Полученные результаты показывают ведущие категории и способы оплаты, различия активности продавцов и снижение средней оценки при более длительной доставке.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 Ответы на контрольные вопросы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 Почему создание таблиц должно выполняться до импорта данных из CSV-файлов?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Команда импорта PostgreSQL загружает строки в уже существующую таблицу. До загрузки нужно определить имена и типы столбцов, первичные и внешние ключи, ограничения NOT NULL и индексы, необходимые для дальнейшей работы. Тогда СУБД проверяет данные при импорте, а ошибки видны сразу. В ecommerce, например, сначала создаются customers и orders, затем загружаются их CSV в порядке зависимостей. Для очень больших загрузок ограничения иногда добавляют после этапа staging, но и в таком процессе целевая схема должна быть определена и проверена до использования данных в аналитике.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 Какие проблемы могут возникнуть, если структура CSV-файла не соответствует структуре целевой таблицы?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Если не совпадают порядок или число столбцов, значения попадут не в те поля либо импорт завершится ошибкой. Несовместимый тип даст ошибку преобразования: например, текст в числовом payment_value или дата в неподходящем формате. Также возможны нарушения NOT NULL, уникальности и внешних ключей. Даже успешный импорт может быть неверным по смыслу, если два текстовых столбца поменялись местами. Поэтому перед загрузкой сверяют заголовок и набор полей, разделитель, кавычки, кодировку, десятичный формат, представление пустых значений и выборочно проверяют загруженные строки и их количество.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 Что произойдёт при попытке загрузить строку, содержащую внешний ключ, если соответствующая запись в родительской таблице отсутствует?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 действующем ограничении FOREIGN KEY PostgreSQL отклонит такую строку с ошибкой ссылочной целостности. Например, orders.customer_id не может ссылаться на покупателя, которого нет в customers. При загрузке через COPY ошибка обычно прерывает текущую команду; если импорт выполняется внутри транзакции, её изменения можно откатить. Правильное решение — сначала загрузить родительскую таблицу, а если ключа действительно нет в исходных данных, исследовать причину и явно описать способ обработки. Нельзя молча отключить внешний ключ и объявить загрузку корректной.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 Почему перед импортом нескольких взаимосвязанных таблиц необходимо определить зависимости между ними?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Порядок загрузки должен учитывать ссылки: сначала таблицы, на которые ссылаются другие, затем зависимые таблицы. В Olist customers нужно загрузить до orders, а orders, products и sellers — до order_items; таблица переводов категорий нужна до products, если связь проверяется внешним ключом. Такой порядок предотвращает ошибки и делает импорт повторяемым. Если исходный набор содержит циклические зависимости или отсутствующие справочные записи, нужен отдельный staging-этап, проверка и осознанное разрешение этих случаев.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 Для чего используется GROUP BY при решении аналитических задач практической работы?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GROUP BY собирает строки с одинаковым значением выбранного признака в группу, после чего агрегатные функции считают показатель для каждой группы. Так получают выручку по товарным категориям (SUM(price)), число платежей по способам оплаты (COUNT(*)), среднюю оценку по интервалам доставки (AVG(review_score)) и показатели по продавцам. Без группировки агрегат относится ко всему набору строк и не даёт разбивки. Перед запросом важно определить уровень детализации: если соединение размножило строки платежей или отзывов, агрегаты могут оказаться завышенными.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 Почему при подсчёте числа заказов иногда необходимо использовать COUNT(DISTINCT order_id), а не COUNT(*)?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COUNT(*) считает строки результата. В order_items один заказ может иметь несколько товарных позиций, а в order_payments — несколько платёжных строк; после JOIN строк может стать ещё больше. Если нужен показатель «сколько заказов было», используют COUNT(DISTINCT order_id). Например, заказ с тремя позициями даёт COUNT(*) = 3, но COUNT(DISTINCT order_id) = 1. Для числа позиций или платежей, напротив, подсчёт строк уместен. При сравнении долей способов оплаты нужно заранее определить знаменатель: в методичке это уникальные заказы с известными платежами.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 Для чего используется сортировка ORDER BY ... DESC при построении рейтингов?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DESC располагает значения выбранной метрики от большего к меньшему. Это нужно, чтобы первые строки были лидерами, а LIMIT 10 действительно вернул топ-10. Для рейтинга категорий сортируют по суммарной выручке, для рейтинга продавцов — по указанному в задаче бизнес-показателю, например числу уникальных заказов. Если значения равны, полезно добавить второй ключ сортировки: ORDER BY revenue DESC, product_category_name ASC. Так результат становится стабильным и понятно, почему объекты с одинаковой выручкой стоят в данном порядке.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8. Что означает «источник данных» в Grafana и какую информацию необходимо указать для подключения PostgreSQL?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Источник данных (data source) — настройка соединения, через которую Grafana отправляет запросы в PostgreSQL и получает данные для панелей. Обычно указывают адрес и порт сервера, имя базы ecommerce, пользователя и пароль, а также режим TLS/SSL и необходимые параметры совместимости. Адрес должен быть доступен из процесса Grafana: если Grafana и PostgreSQL работают в разных контейнерах одной сети Compose, localhost внутри Grafana означает сам контейнер Grafana, а не сервер базы. После настройки проверяют соединение и отдельно выполняют запрос панели: успешный тест соединения ещё не гарантирует, что у пользователя есть доступ к нужным таблицам и что запрос возвращает данные.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9. Почему для динамики количества заказов целесообразно использовать линейный график, а не круговую диаграмму?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Динамика — это последовательность значений во времени. Линия с месяцами по оси X показывает порядок периодов, рост, падение и возможные сезонные колебания числа заказов. Круговая диаграмма показывает доли категорий в одном целом и не позволяет удобно увидеть временной тренд; при большом числе месяцев она становится трудно читаемой. Для графика из методички сначала группируют заказы по месяцу даты оформления, считают уникальные order_id и сортируют месяцы хронологически. Ось и подпись должны ясно говорить, что показано именно число заказов, а не число товарных позиций.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10. Чем преобразование данных в Grafana отличается от преобразования данных непосредственно в SQL-запросе?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SQL-запрос обрабатывает данные на стороне PostgreSQL до передачи результата в Grafana: фильтрует строки, соединяет таблицы, группирует и считает показатели. Преобразования Grafana работают с результатом, который уже вернулся из источника; они удобны для настройки конкретной панели — переименования полей, изменения отображения, объединения небольших наборов. Крупные соединения и расчёт бизнес-метрик обычно лучше делать в SQL, чтобы не передавать лишние строки и иметь одинаковое определение показателя для разных панелей. Преобразование в Grafana не исправит ошибочную детализацию исходного SQL.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11. Что может означать отсутствие данных на панели Grafana при успешно установленном подключении к PostgreSQL?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Соединение проверяет доступность базы, но панель зависит от собственного запроса и настроек. Возможные причины: выбранный временной диапазон не включает строки, SQL-фильтр отсекает всё, задана неверная переменная дашборда, у пользователя нет доступа к таблице, столбец времени содержит NULL или формат результата не подходит типу панели. Проверка начинается с SQL-запроса без дополнительных фильтров, затем с Query inspector, выбранного диапазона времени и параметров панели. Для месячной динамики также нужно убедиться, что поле месяца распознано как время, а запрос возвращает числовой показатель.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12. Почему визуализация должна сопровождаться текстовой интерпретацией результата, а не только изображением графика?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График показывает данные, но сам не формулирует ответ на задачу: какие группы лидируют, в каких единицах измерена метрика, за какой период она рассчитана и какие ограничения есть у сравнения. Подпись и короткий вывод превращают изображение в проверяемый результат. Например, по графику сроков доставки можно сказать, что в сохранённой выборке средняя оценка ниже при более долгой доставке, но это наблюдаемая связь, а не доказательство, что задержка сама по себе вызвала снижение оценки. Текст также помогает заметить ошибки: доли способов оплаты могут суммироваться более чем в 100 %, если один заказ использовал несколько способов, и это надо объяснить.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9 Источники и приложения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Практическая работа №2 «Система хранения данных». Предоставленная методичка, разделы 5 и 6.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Официальные бандлы и репозитории Arenadata: https://downloads.arenadata.io/bundles/; https://docs.arenadata.io/en/ADPG/current/get-started/online-install/adpg-install/cluster-creation.html. Дата обращения: 18.10.2026.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Brazilian E-Commerce Public Dataset by Olist. Исходные CSV и их контрольные суммы сохранены в личном стенде; реестр source_inputs.json находится рядом с материалами подготовки данных.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 Приложения: Исходники/ПР2_Хранение — SQL, официальный манифест бандлов и команды повторного запуска; Результаты/Хранение — storage.json, adcm.json и снимки фактического выполнения.</w:t>
      </w:r>
    </w:p>
    <w:sectPr w:rsidR="004651E5" w:rsidRPr="002A2FAC" w:rsidSect="002A2FAC">
      <w:pgSz w:w="11911" w:h="16841"/>
      <w:pgMar w:top="1134" w:right="850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 w:right="0"/>
      <w:jc w:val="center"/>
    </w:pPr>
    <w:r/>
    <w:fldSimple w:instr=" PAGE ">
      <w:r>
        <w:rPr>
          <w:rFonts w:ascii="Times New Roman" w:hAnsi="Times New Roman"/>
          <w:sz w:val="24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/>
      <w:spacing w:after="0" w:line="360" w:lineRule="auto" w:before="0"/>
      <w:ind w:left="0" w:firstLine="709" w:right="0"/>
      <w:jc w:val="both"/>
    </w:pPr>
    <w:rPr>
      <w:rFonts w:ascii="Times New Roman" w:eastAsia="Times New Roman" w:hAnsi="Times New Roman" w:cs="Times New Roman"/>
      <w:b w:val="0"/>
      <w:i w:val="0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0" w:line="360" w:lineRule="auto" w:before="240"/>
      <w:ind w:left="0" w:firstLine="0" w:right="0"/>
      <w:jc w:val="center"/>
      <w:outlineLvl w:val="0"/>
    </w:pPr>
    <w:rPr>
      <w:rFonts w:ascii="Times New Roman" w:eastAsia="Times New Roman" w:hAnsi="Times New Roman" w:cs="Times New Roman"/>
      <w:b/>
      <w:i w:val="0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">
    <w:name w:val="heading 2"/>
    <w:pPr>
      <w:keepNext/>
      <w:keepLines/>
      <w:spacing w:line="360" w:lineRule="auto" w:before="240" w:after="120"/>
      <w:ind w:firstLine="0" w:left="0" w:right="0"/>
      <w:jc w:val="left"/>
    </w:pPr>
    <w:rPr>
      <w:rFonts w:ascii="Times New Roman" w:hAnsi="Times New Roman" w:eastAsia="Times New Roman" w:cs="Times New Roman"/>
      <w:b/>
      <w:i w:val="0"/>
      <w:color w:val="000000"/>
      <w:sz w:val="28"/>
    </w:rPr>
  </w:style>
  <w:style w:type="paragraph" w:customStyle="1" w:styleId="ReportBody">
    <w:name w:val="Report Body"/>
    <w:basedOn w:val="a"/>
    <w:pPr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  <w:style w:type="paragraph" w:customStyle="1" w:styleId="ReportTable">
    <w:name w:val="Report Table"/>
    <w:basedOn w:val="a"/>
    <w:pPr>
      <w:spacing w:line="24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ReportTableCaption">
    <w:name w:val="Report Table Caption"/>
    <w:basedOn w:val="a"/>
    <w:pPr>
      <w:spacing w:line="24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/>
      <w:color w:val="000000"/>
      <w:sz w:val="24"/>
    </w:rPr>
  </w:style>
  <w:style w:type="paragraph" w:customStyle="1" w:styleId="ReportFigureCaption">
    <w:name w:val="Report Figure Caption"/>
    <w:basedOn w:val="a"/>
    <w:pPr>
      <w:spacing w:line="240" w:lineRule="auto" w:before="0" w:after="0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  <w:style w:type="paragraph" w:customStyle="1" w:styleId="ReportCode">
    <w:name w:val="Report Code"/>
    <w:basedOn w:val="a"/>
    <w:pPr>
      <w:spacing w:line="24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27" Type="http://schemas.openxmlformats.org/officeDocument/2006/relationships/theme" Target="theme/theme1.xml"/><Relationship Id="rId28" Type="http://schemas.openxmlformats.org/officeDocument/2006/relationships/header" Target="header1.xml"/><Relationship Id="rId29" Type="http://schemas.openxmlformats.org/officeDocument/2006/relationships/header" Target="header2.xml"/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6" Type="http://schemas.openxmlformats.org/officeDocument/2006/relationships/image" Target="media/image22.png"/><Relationship Id="rId7" Type="http://schemas.openxmlformats.org/officeDocument/2006/relationships/image" Target="media/image23.png"/><Relationship Id="rId8" Type="http://schemas.openxmlformats.org/officeDocument/2006/relationships/image" Target="media/image24.png"/><Relationship Id="rId9" Type="http://schemas.openxmlformats.org/officeDocument/2006/relationships/image" Target="media/image25.png"/><Relationship Id="rId10" Type="http://schemas.openxmlformats.org/officeDocument/2006/relationships/image" Target="media/image26.png"/><Relationship Id="rId11" Type="http://schemas.openxmlformats.org/officeDocument/2006/relationships/image" Target="media/image27.png"/><Relationship Id="rId1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ТИАБД_ПР2_Хранение_АлбахтинИВ</dc:title>
  <dc:subject>Технологии и инструментарий анализа больших данных</dc:subject>
  <dc:creator>Албахтин И.В.</dc:creator>
  <cp:keywords/>
  <cp:lastModifiedBy>Албахтин И.В.</cp:lastModifiedBy>
  <cp:revision>3</cp:revision>
  <cp:lastPrinted>2026-09-09T10:18:00Z</cp:lastPrinted>
  <dcterms:created xsi:type="dcterms:W3CDTF">2026-09-09T10:23:00Z</dcterms:created>
  <dcterms:modified xsi:type="dcterms:W3CDTF">2026-09-09T11:04:00Z</dcterms:modified>
  <dc:description/>
</cp:coreProperties>
</file>