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88000" cy="11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1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0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6"/>
        </w:rPr>
        <w:t>МИНОБРНАУКИ РОССИИ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Федеральное государственное бюджетное образовательное учреждение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высшего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«МИРЭА – Российский технологический университет»</w:t>
      </w:r>
    </w:p>
    <w:p>
      <w:pPr>
        <w:spacing w:line="240" w:lineRule="auto" w:before="0" w:after="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РТУ МИРЭА</w:t>
      </w:r>
    </w:p>
    <w:p>
      <w:pPr>
        <w:spacing w:line="240" w:lineRule="auto" w:before="0" w:after="340"/>
        <w:ind w:firstLine="0"/>
        <w:jc w:val="center"/>
        <w:pBdr>
          <w:bottom w:val="double" w:sz="10" w:space="1" w:color="000000"/>
        </w:pBdr>
      </w:pPr>
    </w:p>
    <w:p>
      <w:pPr>
        <w:spacing w:line="240" w:lineRule="auto" w:before="0" w:after="6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Институт информационных технологий (ИИТ)</w:t>
      </w:r>
    </w:p>
    <w:p>
      <w:pPr>
        <w:spacing w:line="240" w:lineRule="auto" w:before="0" w:after="8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Кафедра прикладной математики</w:t>
      </w: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ОТЧЕТ ПО ПРАКТИЧЕСКОЙ РАБОТЕ</w:t>
      </w:r>
    </w:p>
    <w:p>
      <w:pPr>
        <w:spacing w:line="24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 дисциплине «Технологии и инструментарий анализа больших данных»</w:t>
      </w:r>
    </w:p>
    <w:p>
      <w:pPr>
        <w:spacing w:line="240" w:lineRule="auto" w:before="0" w:after="110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Практическая работа №2. Система хранения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rHeight w:val="369"/>
        </w:trPr>
        <w:tc>
          <w:tcPr>
            <w:tcW w:type="dxa" w:w="238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Студент группы</w:t>
            </w:r>
          </w:p>
        </w:tc>
        <w:tc>
          <w:tcPr>
            <w:tcW w:type="dxa" w:w="419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ИНБО-12-23, Албахтин И.В.</w:t>
            </w:r>
          </w:p>
        </w:tc>
        <w:tc>
          <w:tcPr>
            <w:tcW w:type="dxa" w:w="226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________________</w:t>
            </w:r>
          </w:p>
        </w:tc>
      </w:tr>
      <w:tr>
        <w:trPr>
          <w:trHeight w:val="215"/>
        </w:trPr>
        <w:tc>
          <w:tcPr>
            <w:tcW w:type="dxa" w:w="238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W w:type="dxa" w:w="419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W w:type="dxa" w:w="226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(подпись)</w:t>
            </w:r>
          </w:p>
        </w:tc>
      </w:tr>
      <w:tr>
        <w:trPr>
          <w:trHeight w:val="369"/>
        </w:trPr>
        <w:tc>
          <w:tcPr>
            <w:tcW w:type="dxa" w:w="238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Преподаватель</w:t>
            </w:r>
          </w:p>
        </w:tc>
        <w:tc>
          <w:tcPr>
            <w:tcW w:type="dxa" w:w="419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Воронцов Ю.А.</w:t>
            </w:r>
          </w:p>
        </w:tc>
        <w:tc>
          <w:tcPr>
            <w:tcW w:type="dxa" w:w="226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________________</w:t>
            </w:r>
          </w:p>
        </w:tc>
      </w:tr>
      <w:tr>
        <w:trPr>
          <w:trHeight w:val="215"/>
        </w:trPr>
        <w:tc>
          <w:tcPr>
            <w:tcW w:type="dxa" w:w="238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line="240" w:lineRule="auto" w:after="96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W w:type="dxa" w:w="419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line="240" w:lineRule="auto" w:after="96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W w:type="dxa" w:w="226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line="240" w:lineRule="auto" w:after="96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(подпись)</w:t>
            </w:r>
          </w:p>
        </w:tc>
      </w:tr>
    </w:tbl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Москва 2026 г.</w:t>
      </w:r>
    </w:p>
    <w:p>
      <w:r>
        <w:br w:type="page"/>
      </w:r>
    </w:p>
    <w:p>
      <w:pPr>
        <w:pStyle w:val="Heading1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 Цель и задачи практической работы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Цель работы — развернуть в VirtualBox серверную систему хранения и аналитической обработки данных, создать реляционную базу ecommerce в PostgreSQL, загрузить набор Olist, выполнить аналитические SQL-запросы и построить дашборд в Grafana.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В ходе работы выполнены следующие задачи:</w:t>
      </w:r>
    </w:p>
    <w:p>
      <w:pPr>
        <w:pStyle w:val="ListBullet"/>
        <w:spacing w:line="360" w:lineRule="auto" w:after="0"/>
        <w:ind w:left="425" w:hanging="283"/>
      </w:pPr>
      <w:r>
        <w:rPr>
          <w:rFonts w:ascii="Times New Roman" w:hAnsi="Times New Roman" w:eastAsia="Times New Roman" w:cs="Times New Roman"/>
          <w:color w:val="000000"/>
          <w:sz w:val="28"/>
        </w:rPr>
        <w:t>создана виртуальная машина Ubuntu Server 22.04.5 LTS с двумя сетевыми адаптерами;</w:t>
      </w:r>
    </w:p>
    <w:p>
      <w:pPr>
        <w:pStyle w:val="ListBullet"/>
        <w:spacing w:line="360" w:lineRule="auto" w:after="0"/>
        <w:ind w:left="425" w:hanging="283"/>
      </w:pPr>
      <w:r>
        <w:rPr>
          <w:rFonts w:ascii="Times New Roman" w:hAnsi="Times New Roman" w:eastAsia="Times New Roman" w:cs="Times New Roman"/>
          <w:color w:val="000000"/>
          <w:sz w:val="28"/>
        </w:rPr>
        <w:t>установлены Docker Engine и Docker Compose;</w:t>
      </w:r>
    </w:p>
    <w:p>
      <w:pPr>
        <w:pStyle w:val="ListBullet"/>
        <w:spacing w:line="360" w:lineRule="auto" w:after="0"/>
        <w:ind w:left="425" w:hanging="283"/>
      </w:pPr>
      <w:r>
        <w:rPr>
          <w:rFonts w:ascii="Times New Roman" w:hAnsi="Times New Roman" w:eastAsia="Times New Roman" w:cs="Times New Roman"/>
          <w:color w:val="000000"/>
          <w:sz w:val="28"/>
        </w:rPr>
        <w:t>развернуты ADCM 2.12.0, PostgreSQL 16, postgres_exporter, Prometheus и Grafana;</w:t>
      </w:r>
    </w:p>
    <w:p>
      <w:pPr>
        <w:pStyle w:val="ListBullet"/>
        <w:spacing w:line="360" w:lineRule="auto" w:after="0"/>
        <w:ind w:left="425" w:hanging="283"/>
      </w:pPr>
      <w:r>
        <w:rPr>
          <w:rFonts w:ascii="Times New Roman" w:hAnsi="Times New Roman" w:eastAsia="Times New Roman" w:cs="Times New Roman"/>
          <w:color w:val="000000"/>
          <w:sz w:val="28"/>
        </w:rPr>
        <w:t>создан кластер ADPG Ecommerce в ADCM и выполнены действия установки и запуска;</w:t>
      </w:r>
    </w:p>
    <w:p>
      <w:pPr>
        <w:pStyle w:val="ListBullet"/>
        <w:spacing w:line="360" w:lineRule="auto" w:after="0"/>
        <w:ind w:left="425" w:hanging="283"/>
      </w:pPr>
      <w:r>
        <w:rPr>
          <w:rFonts w:ascii="Times New Roman" w:hAnsi="Times New Roman" w:eastAsia="Times New Roman" w:cs="Times New Roman"/>
          <w:color w:val="000000"/>
          <w:sz w:val="28"/>
        </w:rPr>
        <w:t>спроектирована схема из 11 таблиц и загружено 1 560 542 строки исходных данных;</w:t>
      </w:r>
    </w:p>
    <w:p>
      <w:pPr>
        <w:pStyle w:val="ListBullet"/>
        <w:spacing w:line="360" w:lineRule="auto" w:after="0"/>
        <w:ind w:left="425" w:hanging="283"/>
      </w:pPr>
      <w:r>
        <w:rPr>
          <w:rFonts w:ascii="Times New Roman" w:hAnsi="Times New Roman" w:eastAsia="Times New Roman" w:cs="Times New Roman"/>
          <w:color w:val="000000"/>
          <w:sz w:val="28"/>
        </w:rPr>
        <w:t>выполнены четыре аналитических запроса и настроен дашборд из шести панелей.</w:t>
      </w:r>
    </w:p>
    <w:p>
      <w:pPr>
        <w:pStyle w:val="Heading1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2. Подготовка виртуальной инфраструктуры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В VirtualBox создана виртуальная машина TIABD-Practice-2. Для доступа в Интернет используется адаптер NAT, а для связи с хостовой системой — Host-Only Adapter со статическим адресом 192.168.56.104. На рисунке 1 приведена проверка параметров установленной ОС.</w:t>
      </w:r>
    </w:p>
    <w:p>
      <w:pPr>
        <w:pStyle w:val="TableCaptionReport"/>
        <w:keepNext/>
        <w:keepLines/>
        <w:widowControl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>Таблица 1 – Конфигурация виртуальной машины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311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Параметр</w:t>
            </w:r>
          </w:p>
        </w:tc>
        <w:tc>
          <w:tcPr>
            <w:tcW w:type="dxa" w:w="5953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311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Гипервизор</w:t>
            </w:r>
          </w:p>
        </w:tc>
        <w:tc>
          <w:tcPr>
            <w:tcW w:type="dxa" w:w="5953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Oracle VirtualBox 7.2.20</w:t>
            </w:r>
          </w:p>
        </w:tc>
      </w:tr>
      <w:tr>
        <w:tc>
          <w:tcPr>
            <w:tcW w:type="dxa" w:w="311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Операционная система</w:t>
            </w:r>
          </w:p>
        </w:tc>
        <w:tc>
          <w:tcPr>
            <w:tcW w:type="dxa" w:w="5953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Ubuntu Server 22.04.5 LTS</w:t>
            </w:r>
          </w:p>
        </w:tc>
      </w:tr>
      <w:tr>
        <w:tc>
          <w:tcPr>
            <w:tcW w:type="dxa" w:w="311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Процессор</w:t>
            </w:r>
          </w:p>
        </w:tc>
        <w:tc>
          <w:tcPr>
            <w:tcW w:type="dxa" w:w="5953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2 виртуальных ядра</w:t>
            </w:r>
          </w:p>
        </w:tc>
      </w:tr>
      <w:tr>
        <w:tc>
          <w:tcPr>
            <w:tcW w:type="dxa" w:w="311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Оперативная память</w:t>
            </w:r>
          </w:p>
        </w:tc>
        <w:tc>
          <w:tcPr>
            <w:tcW w:type="dxa" w:w="5953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4 ГБ</w:t>
            </w:r>
          </w:p>
        </w:tc>
      </w:tr>
      <w:tr>
        <w:tc>
          <w:tcPr>
            <w:tcW w:type="dxa" w:w="311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Виртуальный диск</w:t>
            </w:r>
          </w:p>
        </w:tc>
        <w:tc>
          <w:tcPr>
            <w:tcW w:type="dxa" w:w="5953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40 ГБ</w:t>
            </w:r>
          </w:p>
        </w:tc>
      </w:tr>
      <w:tr>
        <w:tc>
          <w:tcPr>
            <w:tcW w:type="dxa" w:w="311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Сеть</w:t>
            </w:r>
          </w:p>
        </w:tc>
        <w:tc>
          <w:tcPr>
            <w:tcW w:type="dxa" w:w="5953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NAT 10.0.2.15; Host-Only 192.168.56.104</w:t>
            </w:r>
          </w:p>
        </w:tc>
      </w:tr>
    </w:tbl>
    <w:p>
      <w:pPr>
        <w:keepNext/>
        <w:keepLines/>
        <w:widowControl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198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buntu_v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98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Report"/>
        <w:keepNext w:val="0"/>
        <w:keepLines/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1 – Параметры Ubuntu Server в виртуальной машине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После установки ОС добавлен официальный репозиторий Docker. Все компоненты практики объединены в один Compose-проект. На рисунке 2 видно, что шесть контейнеров находятся в состоянии running.</w:t>
      </w:r>
    </w:p>
    <w:p>
      <w:pPr>
        <w:keepNext/>
        <w:keepLines/>
        <w:widowControl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1100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ocker_serv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10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Report"/>
        <w:keepNext w:val="0"/>
        <w:keepLines/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2 – Запущенные контейнеры учебного стенда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В ADCM загружен учебный community-бандл ADPG Ecommerce Lab, содержащий службы Arenadata PostgreSQL и Prometheus/Grafana. Для кластера последовательно выполнены действия проверки установки и запуска; итоговое состояние кластера — running. На рисунке 3 показана страница Cluster → Overview.</w:t>
      </w:r>
    </w:p>
    <w:p>
      <w:pPr>
        <w:keepNext/>
        <w:keepLines/>
        <w:widowControl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40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cm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0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Report"/>
        <w:keepNext w:val="0"/>
        <w:keepLines/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3 – Обзор кластера ADPG Ecommerce в ADCM</w:t>
      </w:r>
    </w:p>
    <w:p>
      <w:pPr>
        <w:pStyle w:val="Heading1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 Создание базы данных и загрузка данных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В PostgreSQL создана база ecommerce. Таблицы создавались до импорта, чтобы заранее определить типы полей, первичные и внешние ключи и порядок загрузки. CSV-файлы загружены командой COPY с предварительной обработкой двух особенностей открытого набора: отсутствующих переводов категорий и ссылок на продавцов, которых нет в справочнике.</w:t>
      </w:r>
    </w:p>
    <w:p>
      <w:pPr>
        <w:pStyle w:val="TableCaptionReport"/>
        <w:keepNext/>
        <w:keepLines/>
        <w:widowControl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>Таблица 2 – Количество загруженных строк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65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Таблица</w:t>
            </w:r>
          </w:p>
        </w:tc>
        <w:tc>
          <w:tcPr>
            <w:tcW w:type="dxa" w:w="255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Строк</w:t>
            </w:r>
          </w:p>
        </w:tc>
      </w:tr>
      <w:tr>
        <w:tc>
          <w:tcPr>
            <w:tcW w:type="dxa" w:w="65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customers</w:t>
            </w:r>
          </w:p>
        </w:tc>
        <w:tc>
          <w:tcPr>
            <w:tcW w:type="dxa" w:w="255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99 441</w:t>
            </w:r>
          </w:p>
        </w:tc>
      </w:tr>
      <w:tr>
        <w:tc>
          <w:tcPr>
            <w:tcW w:type="dxa" w:w="65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geolocation</w:t>
            </w:r>
          </w:p>
        </w:tc>
        <w:tc>
          <w:tcPr>
            <w:tcW w:type="dxa" w:w="255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1 000 163</w:t>
            </w:r>
          </w:p>
        </w:tc>
      </w:tr>
      <w:tr>
        <w:tc>
          <w:tcPr>
            <w:tcW w:type="dxa" w:w="65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leads_closed</w:t>
            </w:r>
          </w:p>
        </w:tc>
        <w:tc>
          <w:tcPr>
            <w:tcW w:type="dxa" w:w="255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842</w:t>
            </w:r>
          </w:p>
        </w:tc>
      </w:tr>
      <w:tr>
        <w:tc>
          <w:tcPr>
            <w:tcW w:type="dxa" w:w="65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leads_qualified</w:t>
            </w:r>
          </w:p>
        </w:tc>
        <w:tc>
          <w:tcPr>
            <w:tcW w:type="dxa" w:w="255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8 000</w:t>
            </w:r>
          </w:p>
        </w:tc>
      </w:tr>
      <w:tr>
        <w:tc>
          <w:tcPr>
            <w:tcW w:type="dxa" w:w="65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order_items</w:t>
            </w:r>
          </w:p>
        </w:tc>
        <w:tc>
          <w:tcPr>
            <w:tcW w:type="dxa" w:w="255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112 650</w:t>
            </w:r>
          </w:p>
        </w:tc>
      </w:tr>
      <w:tr>
        <w:tc>
          <w:tcPr>
            <w:tcW w:type="dxa" w:w="65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order_payments</w:t>
            </w:r>
          </w:p>
        </w:tc>
        <w:tc>
          <w:tcPr>
            <w:tcW w:type="dxa" w:w="255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103 886</w:t>
            </w:r>
          </w:p>
        </w:tc>
      </w:tr>
      <w:tr>
        <w:tc>
          <w:tcPr>
            <w:tcW w:type="dxa" w:w="65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order_reviews</w:t>
            </w:r>
          </w:p>
        </w:tc>
        <w:tc>
          <w:tcPr>
            <w:tcW w:type="dxa" w:w="255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100 000</w:t>
            </w:r>
          </w:p>
        </w:tc>
      </w:tr>
      <w:tr>
        <w:tc>
          <w:tcPr>
            <w:tcW w:type="dxa" w:w="65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orders</w:t>
            </w:r>
          </w:p>
        </w:tc>
        <w:tc>
          <w:tcPr>
            <w:tcW w:type="dxa" w:w="255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99 441</w:t>
            </w:r>
          </w:p>
        </w:tc>
      </w:tr>
      <w:tr>
        <w:tc>
          <w:tcPr>
            <w:tcW w:type="dxa" w:w="65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product_category_name_translation</w:t>
            </w:r>
          </w:p>
        </w:tc>
        <w:tc>
          <w:tcPr>
            <w:tcW w:type="dxa" w:w="255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73</w:t>
            </w:r>
          </w:p>
        </w:tc>
      </w:tr>
      <w:tr>
        <w:tc>
          <w:tcPr>
            <w:tcW w:type="dxa" w:w="65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products</w:t>
            </w:r>
          </w:p>
        </w:tc>
        <w:tc>
          <w:tcPr>
            <w:tcW w:type="dxa" w:w="255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32 951</w:t>
            </w:r>
          </w:p>
        </w:tc>
      </w:tr>
      <w:tr>
        <w:tc>
          <w:tcPr>
            <w:tcW w:type="dxa" w:w="65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sellers</w:t>
            </w:r>
          </w:p>
        </w:tc>
        <w:tc>
          <w:tcPr>
            <w:tcW w:type="dxa" w:w="255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3 095</w:t>
            </w:r>
          </w:p>
        </w:tc>
      </w:tr>
      <w:tr>
        <w:tc>
          <w:tcPr>
            <w:tcW w:type="dxa" w:w="65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Итого</w:t>
            </w:r>
          </w:p>
        </w:tc>
        <w:tc>
          <w:tcPr>
            <w:tcW w:type="dxa" w:w="255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1 560 542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Фактическое наличие всех таблиц и оценка числа строк подтверждены на рисунке 4.</w:t>
      </w:r>
    </w:p>
    <w:p>
      <w:pPr>
        <w:keepNext/>
        <w:keepLines/>
        <w:widowControl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21638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tabase_schem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16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Report"/>
        <w:keepNext w:val="0"/>
        <w:keepLines/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4 – Таблицы базы ecommerce после импорта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Основной аналитический контур начинается с customers и orders. Таблица order_items связывает заказы с products и sellers; платежи и отзывы относятся к заказам. Отдельный словарь обеспечивает английский перевод категорий. Схема связей показана на рисунке 5.</w:t>
      </w:r>
    </w:p>
    <w:p>
      <w:pPr>
        <w:keepNext/>
        <w:keepLines/>
        <w:widowControl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3651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r_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Report"/>
        <w:keepNext w:val="0"/>
        <w:keepLines/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5 – Логическая схема базы данных ecommerce</w:t>
      </w:r>
    </w:p>
    <w:p>
      <w:pPr>
        <w:pStyle w:val="Heading1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 Аналитические SQL-запросы</w:t>
      </w:r>
    </w:p>
    <w:p>
      <w:pPr>
        <w:pStyle w:val="Heading2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4.1. Топ-10 категорий по выручке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Требуется вывести исходное и английское название категории, суммарную цену позиций, число уникальных заказов и общее число товарных позиций.</w:t>
      </w:r>
    </w:p>
    <w:p>
      <w:pPr>
        <w:keepLines w:val="0"/>
        <w:spacing w:line="240" w:lineRule="auto" w:before="80" w:after="80"/>
        <w:ind w:firstLine="0" w:left="198" w:right="113"/>
        <w:jc w:val="left"/>
        <w:pBdr>
          <w:top w:val="single" w:sz="4" w:space="4" w:color="98A2B3"/>
          <w:left w:val="single" w:sz="4" w:space="4" w:color="98A2B3"/>
          <w:bottom w:val="single" w:sz="4" w:space="4" w:color="98A2B3"/>
          <w:right w:val="single" w:sz="4" w:space="4" w:color="98A2B3"/>
        </w:pBdr>
      </w:pPr>
      <w:r>
        <w:rPr>
          <w:rFonts w:ascii="Consolas" w:hAnsi="Consolas" w:eastAsia="Consolas" w:cs="Consolas"/>
          <w:color w:val="000000"/>
          <w:sz w:val="18"/>
        </w:rPr>
        <w:t>SELECT p.product_category_name,</w:t>
        <w:br/>
        <w:t xml:space="preserve">       COALESCE(t.product_category_name_english,</w:t>
        <w:br/>
        <w:t xml:space="preserve">                p.product_category_name) AS category_en,</w:t>
        <w:br/>
        <w:t xml:space="preserve">       ROUND(SUM(oi.price)::numeric, 2) AS revenue_brl,</w:t>
        <w:br/>
        <w:t xml:space="preserve">       COUNT(DISTINCT oi.order_id) AS orders,</w:t>
        <w:br/>
        <w:t xml:space="preserve">       COUNT(*) AS items</w:t>
        <w:br/>
        <w:t>FROM order_items oi</w:t>
        <w:br/>
        <w:t>JOIN products p USING (product_id)</w:t>
        <w:br/>
        <w:t>LEFT JOIN product_category_name_translation t</w:t>
        <w:br/>
        <w:t xml:space="preserve">       USING (product_category_name)</w:t>
        <w:br/>
        <w:t>GROUP BY p.product_category_name, category_en</w:t>
        <w:br/>
        <w:t>ORDER BY revenue_brl DESC</w:t>
        <w:br/>
        <w:t>LIMIT 10;</w:t>
      </w:r>
    </w:p>
    <w:p>
      <w:pPr>
        <w:pStyle w:val="TableCaptionReport"/>
        <w:keepNext/>
        <w:keepLines/>
        <w:widowControl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>Таблица 3 – Топ-10 категорий по выручке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215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Категория</w:t>
            </w:r>
          </w:p>
        </w:tc>
        <w:tc>
          <w:tcPr>
            <w:tcW w:type="dxa" w:w="215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Перевод</w:t>
            </w:r>
          </w:p>
        </w:tc>
        <w:tc>
          <w:tcPr>
            <w:tcW w:type="dxa" w:w="181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Выручка, R$</w:t>
            </w:r>
          </w:p>
        </w:tc>
        <w:tc>
          <w:tcPr>
            <w:tcW w:type="dxa" w:w="119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Заказы</w:t>
            </w:r>
          </w:p>
        </w:tc>
        <w:tc>
          <w:tcPr>
            <w:tcW w:type="dxa" w:w="119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Позиции</w:t>
            </w:r>
          </w:p>
        </w:tc>
      </w:tr>
      <w:tr>
        <w:tc>
          <w:tcPr>
            <w:tcW w:type="dxa" w:w="215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beleza_saude</w:t>
            </w:r>
          </w:p>
        </w:tc>
        <w:tc>
          <w:tcPr>
            <w:tcW w:type="dxa" w:w="215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health_beauty</w:t>
            </w:r>
          </w:p>
        </w:tc>
        <w:tc>
          <w:tcPr>
            <w:tcW w:type="dxa" w:w="181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1 258 681,34</w:t>
            </w:r>
          </w:p>
        </w:tc>
        <w:tc>
          <w:tcPr>
            <w:tcW w:type="dxa" w:w="119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8 836</w:t>
            </w:r>
          </w:p>
        </w:tc>
        <w:tc>
          <w:tcPr>
            <w:tcW w:type="dxa" w:w="119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9 670</w:t>
            </w:r>
          </w:p>
        </w:tc>
      </w:tr>
      <w:tr>
        <w:tc>
          <w:tcPr>
            <w:tcW w:type="dxa" w:w="215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relogios_presentes</w:t>
            </w:r>
          </w:p>
        </w:tc>
        <w:tc>
          <w:tcPr>
            <w:tcW w:type="dxa" w:w="215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watches_gifts</w:t>
            </w:r>
          </w:p>
        </w:tc>
        <w:tc>
          <w:tcPr>
            <w:tcW w:type="dxa" w:w="181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1 205 005,68</w:t>
            </w:r>
          </w:p>
        </w:tc>
        <w:tc>
          <w:tcPr>
            <w:tcW w:type="dxa" w:w="119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5 624</w:t>
            </w:r>
          </w:p>
        </w:tc>
        <w:tc>
          <w:tcPr>
            <w:tcW w:type="dxa" w:w="119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5 991</w:t>
            </w:r>
          </w:p>
        </w:tc>
      </w:tr>
      <w:tr>
        <w:tc>
          <w:tcPr>
            <w:tcW w:type="dxa" w:w="215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cama_mesa_banho</w:t>
            </w:r>
          </w:p>
        </w:tc>
        <w:tc>
          <w:tcPr>
            <w:tcW w:type="dxa" w:w="215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bed_bath_table</w:t>
            </w:r>
          </w:p>
        </w:tc>
        <w:tc>
          <w:tcPr>
            <w:tcW w:type="dxa" w:w="181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1 036 988,68</w:t>
            </w:r>
          </w:p>
        </w:tc>
        <w:tc>
          <w:tcPr>
            <w:tcW w:type="dxa" w:w="119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9 417</w:t>
            </w:r>
          </w:p>
        </w:tc>
        <w:tc>
          <w:tcPr>
            <w:tcW w:type="dxa" w:w="119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11 115</w:t>
            </w:r>
          </w:p>
        </w:tc>
      </w:tr>
      <w:tr>
        <w:tc>
          <w:tcPr>
            <w:tcW w:type="dxa" w:w="215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esporte_lazer</w:t>
            </w:r>
          </w:p>
        </w:tc>
        <w:tc>
          <w:tcPr>
            <w:tcW w:type="dxa" w:w="215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sports_leisure</w:t>
            </w:r>
          </w:p>
        </w:tc>
        <w:tc>
          <w:tcPr>
            <w:tcW w:type="dxa" w:w="181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988 048,97</w:t>
            </w:r>
          </w:p>
        </w:tc>
        <w:tc>
          <w:tcPr>
            <w:tcW w:type="dxa" w:w="119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7 720</w:t>
            </w:r>
          </w:p>
        </w:tc>
        <w:tc>
          <w:tcPr>
            <w:tcW w:type="dxa" w:w="119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8 641</w:t>
            </w:r>
          </w:p>
        </w:tc>
      </w:tr>
      <w:tr>
        <w:tc>
          <w:tcPr>
            <w:tcW w:type="dxa" w:w="215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informatica_acessorios</w:t>
            </w:r>
          </w:p>
        </w:tc>
        <w:tc>
          <w:tcPr>
            <w:tcW w:type="dxa" w:w="215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computers_accessories</w:t>
            </w:r>
          </w:p>
        </w:tc>
        <w:tc>
          <w:tcPr>
            <w:tcW w:type="dxa" w:w="181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911 954,32</w:t>
            </w:r>
          </w:p>
        </w:tc>
        <w:tc>
          <w:tcPr>
            <w:tcW w:type="dxa" w:w="119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6 689</w:t>
            </w:r>
          </w:p>
        </w:tc>
        <w:tc>
          <w:tcPr>
            <w:tcW w:type="dxa" w:w="119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7 827</w:t>
            </w:r>
          </w:p>
        </w:tc>
      </w:tr>
      <w:tr>
        <w:tc>
          <w:tcPr>
            <w:tcW w:type="dxa" w:w="215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moveis_decoracao</w:t>
            </w:r>
          </w:p>
        </w:tc>
        <w:tc>
          <w:tcPr>
            <w:tcW w:type="dxa" w:w="215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furniture_decor</w:t>
            </w:r>
          </w:p>
        </w:tc>
        <w:tc>
          <w:tcPr>
            <w:tcW w:type="dxa" w:w="181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729 762,49</w:t>
            </w:r>
          </w:p>
        </w:tc>
        <w:tc>
          <w:tcPr>
            <w:tcW w:type="dxa" w:w="119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6 449</w:t>
            </w:r>
          </w:p>
        </w:tc>
        <w:tc>
          <w:tcPr>
            <w:tcW w:type="dxa" w:w="119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8 334</w:t>
            </w:r>
          </w:p>
        </w:tc>
      </w:tr>
      <w:tr>
        <w:tc>
          <w:tcPr>
            <w:tcW w:type="dxa" w:w="215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cool_stuff</w:t>
            </w:r>
          </w:p>
        </w:tc>
        <w:tc>
          <w:tcPr>
            <w:tcW w:type="dxa" w:w="215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cool_stuff</w:t>
            </w:r>
          </w:p>
        </w:tc>
        <w:tc>
          <w:tcPr>
            <w:tcW w:type="dxa" w:w="181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635 290,85</w:t>
            </w:r>
          </w:p>
        </w:tc>
        <w:tc>
          <w:tcPr>
            <w:tcW w:type="dxa" w:w="119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3 632</w:t>
            </w:r>
          </w:p>
        </w:tc>
        <w:tc>
          <w:tcPr>
            <w:tcW w:type="dxa" w:w="119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3 796</w:t>
            </w:r>
          </w:p>
        </w:tc>
      </w:tr>
      <w:tr>
        <w:tc>
          <w:tcPr>
            <w:tcW w:type="dxa" w:w="215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utilidades_domesticas</w:t>
            </w:r>
          </w:p>
        </w:tc>
        <w:tc>
          <w:tcPr>
            <w:tcW w:type="dxa" w:w="215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housewares</w:t>
            </w:r>
          </w:p>
        </w:tc>
        <w:tc>
          <w:tcPr>
            <w:tcW w:type="dxa" w:w="181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632 248,66</w:t>
            </w:r>
          </w:p>
        </w:tc>
        <w:tc>
          <w:tcPr>
            <w:tcW w:type="dxa" w:w="119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5 884</w:t>
            </w:r>
          </w:p>
        </w:tc>
        <w:tc>
          <w:tcPr>
            <w:tcW w:type="dxa" w:w="119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6 964</w:t>
            </w:r>
          </w:p>
        </w:tc>
      </w:tr>
      <w:tr>
        <w:tc>
          <w:tcPr>
            <w:tcW w:type="dxa" w:w="215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automotivo</w:t>
            </w:r>
          </w:p>
        </w:tc>
        <w:tc>
          <w:tcPr>
            <w:tcW w:type="dxa" w:w="215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auto</w:t>
            </w:r>
          </w:p>
        </w:tc>
        <w:tc>
          <w:tcPr>
            <w:tcW w:type="dxa" w:w="181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592 720,11</w:t>
            </w:r>
          </w:p>
        </w:tc>
        <w:tc>
          <w:tcPr>
            <w:tcW w:type="dxa" w:w="119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3 897</w:t>
            </w:r>
          </w:p>
        </w:tc>
        <w:tc>
          <w:tcPr>
            <w:tcW w:type="dxa" w:w="119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4 235</w:t>
            </w:r>
          </w:p>
        </w:tc>
      </w:tr>
      <w:tr>
        <w:tc>
          <w:tcPr>
            <w:tcW w:type="dxa" w:w="215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ferramentas_jardim</w:t>
            </w:r>
          </w:p>
        </w:tc>
        <w:tc>
          <w:tcPr>
            <w:tcW w:type="dxa" w:w="215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garden_tools</w:t>
            </w:r>
          </w:p>
        </w:tc>
        <w:tc>
          <w:tcPr>
            <w:tcW w:type="dxa" w:w="181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485 256,46</w:t>
            </w:r>
          </w:p>
        </w:tc>
        <w:tc>
          <w:tcPr>
            <w:tcW w:type="dxa" w:w="119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3 518</w:t>
            </w:r>
          </w:p>
        </w:tc>
        <w:tc>
          <w:tcPr>
            <w:tcW w:type="dxa" w:w="119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4 347</w:t>
            </w:r>
          </w:p>
        </w:tc>
      </w:tr>
    </w:tbl>
    <w:p>
      <w:pPr>
        <w:keepNext/>
        <w:keepLines/>
        <w:widowControl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2053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query_top_categor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05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Report"/>
        <w:keepNext w:val="0"/>
        <w:keepLines/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6 – Результат запроса по товарным категориям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Максимальную выручку сформировала категория health_beauty — 1 258 681,34 R$. Категория bed_bath_table встречается в большем числе заказов, но уступает по обороту, что указывает на меньшую среднюю цену позиции.</w:t>
      </w:r>
    </w:p>
    <w:p>
      <w:pPr>
        <w:pStyle w:val="Heading2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4.2. Платёжное поведение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Для каждого типа оплаты рассчитаны число платежей, среднее число частей, средняя сумма и доля уникальных заказов. Доля считается на уровне наличия типа оплаты в заказе, поэтому один заказ не дублируется внутри одной группы.</w:t>
      </w:r>
    </w:p>
    <w:p>
      <w:pPr>
        <w:keepLines w:val="0"/>
        <w:spacing w:line="240" w:lineRule="auto" w:before="80" w:after="80"/>
        <w:ind w:firstLine="0" w:left="198" w:right="113"/>
        <w:jc w:val="left"/>
        <w:pBdr>
          <w:top w:val="single" w:sz="4" w:space="4" w:color="98A2B3"/>
          <w:left w:val="single" w:sz="4" w:space="4" w:color="98A2B3"/>
          <w:bottom w:val="single" w:sz="4" w:space="4" w:color="98A2B3"/>
          <w:right w:val="single" w:sz="4" w:space="4" w:color="98A2B3"/>
        </w:pBdr>
      </w:pPr>
      <w:r>
        <w:rPr>
          <w:rFonts w:ascii="Consolas" w:hAnsi="Consolas" w:eastAsia="Consolas" w:cs="Consolas"/>
          <w:color w:val="000000"/>
          <w:sz w:val="18"/>
        </w:rPr>
        <w:t>SELECT payment_type,</w:t>
        <w:br/>
        <w:t xml:space="preserve">       COUNT(*) AS payments,</w:t>
        <w:br/>
        <w:t xml:space="preserve">       ROUND(AVG(payment_installments), 2) AS avg_installments,</w:t>
        <w:br/>
        <w:t xml:space="preserve">       ROUND(AVG(payment_value)::numeric, 2) AS avg_payment,</w:t>
        <w:br/>
        <w:t xml:space="preserve">       ROUND(100.0 * COUNT(DISTINCT order_id) /</w:t>
        <w:br/>
        <w:t xml:space="preserve">             (SELECT COUNT(DISTINCT order_id) FROM order_payments), 2)</w:t>
        <w:br/>
        <w:t xml:space="preserve">             AS order_share_pct</w:t>
        <w:br/>
        <w:t>FROM order_payments</w:t>
        <w:br/>
        <w:t>GROUP BY payment_type</w:t>
        <w:br/>
        <w:t>ORDER BY payments DESC;</w:t>
      </w:r>
    </w:p>
    <w:p>
      <w:pPr>
        <w:pStyle w:val="TableCaptionReport"/>
        <w:keepNext/>
        <w:keepLines/>
        <w:widowControl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>Таблица 4 – Платёжное поведение покупателей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70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Тип</w:t>
            </w:r>
          </w:p>
        </w:tc>
        <w:tc>
          <w:tcPr>
            <w:tcW w:type="dxa" w:w="136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Платежей</w:t>
            </w:r>
          </w:p>
        </w:tc>
        <w:tc>
          <w:tcPr>
            <w:tcW w:type="dxa" w:w="204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Среднее число частей</w:t>
            </w:r>
          </w:p>
        </w:tc>
        <w:tc>
          <w:tcPr>
            <w:tcW w:type="dxa" w:w="204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Средний платёж, R$</w:t>
            </w:r>
          </w:p>
        </w:tc>
        <w:tc>
          <w:tcPr>
            <w:tcW w:type="dxa" w:w="192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Доля заказов, %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credit_card</w:t>
            </w:r>
          </w:p>
        </w:tc>
        <w:tc>
          <w:tcPr>
            <w:tcW w:type="dxa" w:w="136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76 795</w:t>
            </w:r>
          </w:p>
        </w:tc>
        <w:tc>
          <w:tcPr>
            <w:tcW w:type="dxa" w:w="204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3,51</w:t>
            </w:r>
          </w:p>
        </w:tc>
        <w:tc>
          <w:tcPr>
            <w:tcW w:type="dxa" w:w="204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163,32</w:t>
            </w:r>
          </w:p>
        </w:tc>
        <w:tc>
          <w:tcPr>
            <w:tcW w:type="dxa" w:w="192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76,94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boleto</w:t>
            </w:r>
          </w:p>
        </w:tc>
        <w:tc>
          <w:tcPr>
            <w:tcW w:type="dxa" w:w="136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19 784</w:t>
            </w:r>
          </w:p>
        </w:tc>
        <w:tc>
          <w:tcPr>
            <w:tcW w:type="dxa" w:w="204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1,00</w:t>
            </w:r>
          </w:p>
        </w:tc>
        <w:tc>
          <w:tcPr>
            <w:tcW w:type="dxa" w:w="204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145,03</w:t>
            </w:r>
          </w:p>
        </w:tc>
        <w:tc>
          <w:tcPr>
            <w:tcW w:type="dxa" w:w="192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19,90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voucher</w:t>
            </w:r>
          </w:p>
        </w:tc>
        <w:tc>
          <w:tcPr>
            <w:tcW w:type="dxa" w:w="136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5 775</w:t>
            </w:r>
          </w:p>
        </w:tc>
        <w:tc>
          <w:tcPr>
            <w:tcW w:type="dxa" w:w="204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1,00</w:t>
            </w:r>
          </w:p>
        </w:tc>
        <w:tc>
          <w:tcPr>
            <w:tcW w:type="dxa" w:w="204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65,70</w:t>
            </w:r>
          </w:p>
        </w:tc>
        <w:tc>
          <w:tcPr>
            <w:tcW w:type="dxa" w:w="192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3,89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debit_card</w:t>
            </w:r>
          </w:p>
        </w:tc>
        <w:tc>
          <w:tcPr>
            <w:tcW w:type="dxa" w:w="136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1 529</w:t>
            </w:r>
          </w:p>
        </w:tc>
        <w:tc>
          <w:tcPr>
            <w:tcW w:type="dxa" w:w="204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1,00</w:t>
            </w:r>
          </w:p>
        </w:tc>
        <w:tc>
          <w:tcPr>
            <w:tcW w:type="dxa" w:w="204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142,57</w:t>
            </w:r>
          </w:p>
        </w:tc>
        <w:tc>
          <w:tcPr>
            <w:tcW w:type="dxa" w:w="192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1,54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not_defined</w:t>
            </w:r>
          </w:p>
        </w:tc>
        <w:tc>
          <w:tcPr>
            <w:tcW w:type="dxa" w:w="136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3</w:t>
            </w:r>
          </w:p>
        </w:tc>
        <w:tc>
          <w:tcPr>
            <w:tcW w:type="dxa" w:w="204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1,00</w:t>
            </w:r>
          </w:p>
        </w:tc>
        <w:tc>
          <w:tcPr>
            <w:tcW w:type="dxa" w:w="204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0,00</w:t>
            </w:r>
          </w:p>
        </w:tc>
        <w:tc>
          <w:tcPr>
            <w:tcW w:type="dxa" w:w="192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0,00</w:t>
            </w:r>
          </w:p>
        </w:tc>
      </w:tr>
    </w:tbl>
    <w:p>
      <w:pPr>
        <w:keepNext/>
        <w:keepLines/>
        <w:widowControl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15036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query_payme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503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Report"/>
        <w:keepNext w:val="0"/>
        <w:keepLines/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7 – Результат запроса по способам оплаты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Кредитная карта доминирует: она встречается в 76,94 % заказов и обычно разбивается примерно на 3,5 платежа. Второй по распространённости способ — boleto, используемый почти в одной пятой заказов.</w:t>
      </w:r>
    </w:p>
    <w:p>
      <w:pPr>
        <w:pStyle w:val="Heading2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4.3. Зависимость оценки от скорости доставки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Чтобы каждый заказ учитывался один раз, несколько отзывов одного заказа предварительно агрегируются. Длительность рассчитывается как разность календарных дат доставки и покупки.</w:t>
      </w:r>
    </w:p>
    <w:p>
      <w:pPr>
        <w:keepLines w:val="0"/>
        <w:spacing w:line="240" w:lineRule="auto" w:before="80" w:after="80"/>
        <w:ind w:firstLine="0" w:left="198" w:right="113"/>
        <w:jc w:val="left"/>
        <w:pBdr>
          <w:top w:val="single" w:sz="4" w:space="4" w:color="98A2B3"/>
          <w:left w:val="single" w:sz="4" w:space="4" w:color="98A2B3"/>
          <w:bottom w:val="single" w:sz="4" w:space="4" w:color="98A2B3"/>
          <w:right w:val="single" w:sz="4" w:space="4" w:color="98A2B3"/>
        </w:pBdr>
      </w:pPr>
      <w:r>
        <w:rPr>
          <w:rFonts w:ascii="Consolas" w:hAnsi="Consolas" w:eastAsia="Consolas" w:cs="Consolas"/>
          <w:color w:val="000000"/>
          <w:sz w:val="18"/>
        </w:rPr>
        <w:t>WITH review_per_order AS (</w:t>
        <w:br/>
        <w:t xml:space="preserve">    SELECT order_id, AVG(review_score) AS review_score</w:t>
        <w:br/>
        <w:t xml:space="preserve">    FROM order_reviews</w:t>
        <w:br/>
        <w:t xml:space="preserve">    GROUP BY order_id</w:t>
        <w:br/>
        <w:t>), delivery AS (</w:t>
        <w:br/>
        <w:t xml:space="preserve">    SELECT o.order_id, r.review_score,</w:t>
        <w:br/>
        <w:t xml:space="preserve">           o.order_delivered_customer_date::date</w:t>
        <w:br/>
        <w:t xml:space="preserve">           - o.order_purchase_timestamp::date AS days</w:t>
        <w:br/>
        <w:t xml:space="preserve">    FROM orders o</w:t>
        <w:br/>
        <w:t xml:space="preserve">    JOIN review_per_order r USING (order_id)</w:t>
        <w:br/>
        <w:t xml:space="preserve">    WHERE o.order_delivered_customer_date IS NOT NULL</w:t>
        <w:br/>
        <w:t>)</w:t>
        <w:br/>
        <w:t>SELECT CASE</w:t>
        <w:br/>
        <w:t xml:space="preserve">         WHEN days &lt;= 5 THEN 'до 5 дней'</w:t>
        <w:br/>
        <w:t xml:space="preserve">         WHEN days &lt;= 10 THEN '6–10 дней'</w:t>
        <w:br/>
        <w:t xml:space="preserve">         ELSE 'более 10 дней'</w:t>
        <w:br/>
        <w:t xml:space="preserve">       END AS delivery_group,</w:t>
        <w:br/>
        <w:t xml:space="preserve">       COUNT(*) AS orders,</w:t>
        <w:br/>
        <w:t xml:space="preserve">       ROUND(AVG(review_score), 2) AS avg_score</w:t>
        <w:br/>
        <w:t>FROM delivery</w:t>
        <w:br/>
        <w:t>GROUP BY 1</w:t>
        <w:br/>
        <w:t>ORDER BY MIN(days);</w:t>
      </w:r>
    </w:p>
    <w:p>
      <w:pPr>
        <w:pStyle w:val="TableCaptionReport"/>
        <w:keepNext/>
        <w:keepLines/>
        <w:widowControl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>Таблица 5 – Оценка в зависимости от длительности доставки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9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Интервал</w:t>
            </w:r>
          </w:p>
        </w:tc>
        <w:tc>
          <w:tcPr>
            <w:tcW w:type="dxa" w:w="226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Заказов</w:t>
            </w:r>
          </w:p>
        </w:tc>
        <w:tc>
          <w:tcPr>
            <w:tcW w:type="dxa" w:w="2835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Средняя оценка</w:t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До 5 дней</w:t>
            </w:r>
          </w:p>
        </w:tc>
        <w:tc>
          <w:tcPr>
            <w:tcW w:type="dxa" w:w="226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16 707</w:t>
            </w:r>
          </w:p>
        </w:tc>
        <w:tc>
          <w:tcPr>
            <w:tcW w:type="dxa" w:w="2835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4,43</w:t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6–10 дней</w:t>
            </w:r>
          </w:p>
        </w:tc>
        <w:tc>
          <w:tcPr>
            <w:tcW w:type="dxa" w:w="226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33 161</w:t>
            </w:r>
          </w:p>
        </w:tc>
        <w:tc>
          <w:tcPr>
            <w:tcW w:type="dxa" w:w="2835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4,34</w:t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Более 10 дней</w:t>
            </w:r>
          </w:p>
        </w:tc>
        <w:tc>
          <w:tcPr>
            <w:tcW w:type="dxa" w:w="226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46 608</w:t>
            </w:r>
          </w:p>
        </w:tc>
        <w:tc>
          <w:tcPr>
            <w:tcW w:type="dxa" w:w="2835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3,90</w:t>
            </w:r>
          </w:p>
        </w:tc>
      </w:tr>
    </w:tbl>
    <w:p>
      <w:pPr>
        <w:keepNext/>
        <w:keepLines/>
        <w:widowControl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12836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query_review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28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Report"/>
        <w:keepNext w:val="0"/>
        <w:keepLines/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8 – Результат анализа скорости доставки и отзывов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С увеличением срока доставки средняя оценка последовательно снижается: с 4,43 для доставок до пяти дней до 3,90 для доставок дольше десяти дней. Наблюдение показывает связь, но само по себе не доказывает причинность.</w:t>
      </w:r>
    </w:p>
    <w:p>
      <w:pPr>
        <w:pStyle w:val="Heading2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4.4. Эффективность продавцов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Рейтинг строится по числу уникальных заказов. Дополнительно рассчитаны число уникальных клиентов, количество позиций, оборот и средняя стоимость доставки на позицию.</w:t>
      </w:r>
    </w:p>
    <w:p>
      <w:pPr>
        <w:keepLines w:val="0"/>
        <w:spacing w:line="240" w:lineRule="auto" w:before="80" w:after="80"/>
        <w:ind w:firstLine="0" w:left="198" w:right="113"/>
        <w:jc w:val="left"/>
        <w:pBdr>
          <w:top w:val="single" w:sz="4" w:space="4" w:color="98A2B3"/>
          <w:left w:val="single" w:sz="4" w:space="4" w:color="98A2B3"/>
          <w:bottom w:val="single" w:sz="4" w:space="4" w:color="98A2B3"/>
          <w:right w:val="single" w:sz="4" w:space="4" w:color="98A2B3"/>
        </w:pBdr>
      </w:pPr>
      <w:r>
        <w:rPr>
          <w:rFonts w:ascii="Consolas" w:hAnsi="Consolas" w:eastAsia="Consolas" w:cs="Consolas"/>
          <w:color w:val="000000"/>
          <w:sz w:val="18"/>
        </w:rPr>
        <w:t>SELECT oi.seller_id,</w:t>
        <w:br/>
        <w:t xml:space="preserve">       COUNT(DISTINCT oi.order_id) AS orders,</w:t>
        <w:br/>
        <w:t xml:space="preserve">       COUNT(DISTINCT o.customer_id) AS customers,</w:t>
        <w:br/>
        <w:t xml:space="preserve">       COUNT(*) AS items,</w:t>
        <w:br/>
        <w:t xml:space="preserve">       ROUND(SUM(oi.price)::numeric, 2) AS revenue_brl,</w:t>
        <w:br/>
        <w:t xml:space="preserve">       ROUND(AVG(oi.freight_value)::numeric, 2) AS avg_freight</w:t>
        <w:br/>
        <w:t>FROM order_items oi</w:t>
        <w:br/>
        <w:t>JOIN orders o USING (order_id)</w:t>
        <w:br/>
        <w:t>GROUP BY oi.seller_id</w:t>
        <w:br/>
        <w:t>ORDER BY orders DESC</w:t>
        <w:br/>
        <w:t>LIMIT 10;</w:t>
      </w:r>
    </w:p>
    <w:p>
      <w:pPr>
        <w:pStyle w:val="TableCaptionReport"/>
        <w:keepNext/>
        <w:keepLines/>
        <w:widowControl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>Таблица 6 – Топ-10 продавцов по числу заказов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75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Продавец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Заказы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Клиенты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Позиции</w:t>
            </w:r>
          </w:p>
        </w:tc>
        <w:tc>
          <w:tcPr>
            <w:tcW w:type="dxa" w:w="192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Оборот, R$</w:t>
            </w:r>
          </w:p>
        </w:tc>
        <w:tc>
          <w:tcPr>
            <w:tcW w:type="dxa" w:w="141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Ср. доставка</w:t>
            </w:r>
          </w:p>
        </w:tc>
      </w:tr>
      <w:tr>
        <w:tc>
          <w:tcPr>
            <w:tcW w:type="dxa" w:w="175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6560211a…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1 854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1 854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2 033</w:t>
            </w:r>
          </w:p>
        </w:tc>
        <w:tc>
          <w:tcPr>
            <w:tcW w:type="dxa" w:w="192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123 304,83</w:t>
            </w:r>
          </w:p>
        </w:tc>
        <w:tc>
          <w:tcPr>
            <w:tcW w:type="dxa" w:w="141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13,75</w:t>
            </w:r>
          </w:p>
        </w:tc>
      </w:tr>
      <w:tr>
        <w:tc>
          <w:tcPr>
            <w:tcW w:type="dxa" w:w="175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4a3ca931…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1 806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1 806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1 987</w:t>
            </w:r>
          </w:p>
        </w:tc>
        <w:tc>
          <w:tcPr>
            <w:tcW w:type="dxa" w:w="192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200 472,92</w:t>
            </w:r>
          </w:p>
        </w:tc>
        <w:tc>
          <w:tcPr>
            <w:tcW w:type="dxa" w:w="141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17,65</w:t>
            </w:r>
          </w:p>
        </w:tc>
      </w:tr>
      <w:tr>
        <w:tc>
          <w:tcPr>
            <w:tcW w:type="dxa" w:w="175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cc419e06…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1 706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1 706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1 775</w:t>
            </w:r>
          </w:p>
        </w:tc>
        <w:tc>
          <w:tcPr>
            <w:tcW w:type="dxa" w:w="192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104 288,42</w:t>
            </w:r>
          </w:p>
        </w:tc>
        <w:tc>
          <w:tcPr>
            <w:tcW w:type="dxa" w:w="141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14,46</w:t>
            </w:r>
          </w:p>
        </w:tc>
      </w:tr>
      <w:tr>
        <w:tc>
          <w:tcPr>
            <w:tcW w:type="dxa" w:w="175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1f50f920…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1 404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1 404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1 931</w:t>
            </w:r>
          </w:p>
        </w:tc>
        <w:tc>
          <w:tcPr>
            <w:tcW w:type="dxa" w:w="192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106 939,21</w:t>
            </w:r>
          </w:p>
        </w:tc>
        <w:tc>
          <w:tcPr>
            <w:tcW w:type="dxa" w:w="141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18,21</w:t>
            </w:r>
          </w:p>
        </w:tc>
      </w:tr>
      <w:tr>
        <w:tc>
          <w:tcPr>
            <w:tcW w:type="dxa" w:w="175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da8622b1…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1 314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1 314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1 551</w:t>
            </w:r>
          </w:p>
        </w:tc>
        <w:tc>
          <w:tcPr>
            <w:tcW w:type="dxa" w:w="192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160 236,57</w:t>
            </w:r>
          </w:p>
        </w:tc>
        <w:tc>
          <w:tcPr>
            <w:tcW w:type="dxa" w:w="141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16,09</w:t>
            </w:r>
          </w:p>
        </w:tc>
      </w:tr>
      <w:tr>
        <w:tc>
          <w:tcPr>
            <w:tcW w:type="dxa" w:w="175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955fee92…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1 287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1 287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1 499</w:t>
            </w:r>
          </w:p>
        </w:tc>
        <w:tc>
          <w:tcPr>
            <w:tcW w:type="dxa" w:w="192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135 171,70</w:t>
            </w:r>
          </w:p>
        </w:tc>
        <w:tc>
          <w:tcPr>
            <w:tcW w:type="dxa" w:w="141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16,97</w:t>
            </w:r>
          </w:p>
        </w:tc>
      </w:tr>
      <w:tr>
        <w:tc>
          <w:tcPr>
            <w:tcW w:type="dxa" w:w="175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7a67c85e…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1 160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1 160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1 171</w:t>
            </w:r>
          </w:p>
        </w:tc>
        <w:tc>
          <w:tcPr>
            <w:tcW w:type="dxa" w:w="192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141 745,53</w:t>
            </w:r>
          </w:p>
        </w:tc>
        <w:tc>
          <w:tcPr>
            <w:tcW w:type="dxa" w:w="141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17,85</w:t>
            </w:r>
          </w:p>
        </w:tc>
      </w:tr>
      <w:tr>
        <w:tc>
          <w:tcPr>
            <w:tcW w:type="dxa" w:w="175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ea8482cd…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1 146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1 146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1 203</w:t>
            </w:r>
          </w:p>
        </w:tc>
        <w:tc>
          <w:tcPr>
            <w:tcW w:type="dxa" w:w="192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37 177,52</w:t>
            </w:r>
          </w:p>
        </w:tc>
        <w:tc>
          <w:tcPr>
            <w:tcW w:type="dxa" w:w="141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14,58</w:t>
            </w:r>
          </w:p>
        </w:tc>
      </w:tr>
      <w:tr>
        <w:tc>
          <w:tcPr>
            <w:tcW w:type="dxa" w:w="175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4869f7a5…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1 132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1 132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1 156</w:t>
            </w:r>
          </w:p>
        </w:tc>
        <w:tc>
          <w:tcPr>
            <w:tcW w:type="dxa" w:w="192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229 472,63</w:t>
            </w:r>
          </w:p>
        </w:tc>
        <w:tc>
          <w:tcPr>
            <w:tcW w:type="dxa" w:w="141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17,45</w:t>
            </w:r>
          </w:p>
        </w:tc>
      </w:tr>
      <w:tr>
        <w:tc>
          <w:tcPr>
            <w:tcW w:type="dxa" w:w="175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3d871de0…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1 080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1 080</w:t>
            </w:r>
          </w:p>
        </w:tc>
        <w:tc>
          <w:tcPr>
            <w:tcW w:type="dxa" w:w="13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1 147</w:t>
            </w:r>
          </w:p>
        </w:tc>
        <w:tc>
          <w:tcPr>
            <w:tcW w:type="dxa" w:w="192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94 914,20</w:t>
            </w:r>
          </w:p>
        </w:tc>
        <w:tc>
          <w:tcPr>
            <w:tcW w:type="dxa" w:w="141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19,56</w:t>
            </w:r>
          </w:p>
        </w:tc>
      </w:tr>
    </w:tbl>
    <w:p>
      <w:pPr>
        <w:keepNext/>
        <w:keepLines/>
        <w:widowControl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20904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query_sell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09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Report"/>
        <w:keepNext w:val="0"/>
        <w:keepLines/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9 – Результат рейтинга продавцов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Лидер по активности обработал 1 854 заказа и 2 033 позиции. При этом максимальный оборот среди показанных строк принадлежит не лидеру по числу заказов, а продавцу 4869f7a5…, что подчёркивает различие метрик активности и выручки.</w:t>
      </w:r>
    </w:p>
    <w:p>
      <w:pPr>
        <w:pStyle w:val="Heading1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5. Дашборд Grafana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PostgreSQL подключён к Grafana как источник данных. Дашборд TIABD Ecommerce Analytics содержит четыре обязательные и две дополнительные панели: месячную динамику заказов, распределение оценок, способы оплаты, топ категорий по выручке, суммарную выручку и число уникальных покупателей. Полный дашборд показан на рисунке 10.</w:t>
      </w:r>
    </w:p>
    <w:p>
      <w:pPr>
        <w:keepNext/>
        <w:keepLines/>
        <w:widowControl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407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rafana_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0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Report"/>
        <w:keepNext w:val="0"/>
        <w:keepLines/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10 – Дашборд Ecommerce Analytics в Grafana</w:t>
      </w:r>
    </w:p>
    <w:p>
      <w:pPr>
        <w:pStyle w:val="TableCaptionReport"/>
        <w:keepNext/>
        <w:keepLines/>
        <w:widowControl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>Таблица 7 – Интерпретация панелей Grafana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835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Панель</w:t>
            </w:r>
          </w:p>
        </w:tc>
        <w:tc>
          <w:tcPr>
            <w:tcW w:type="dxa" w:w="623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Интерпретация</w:t>
            </w:r>
          </w:p>
        </w:tc>
      </w:tr>
      <w:tr>
        <w:tc>
          <w:tcPr>
            <w:tcW w:type="dxa" w:w="2835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Динамика заказов</w:t>
            </w:r>
          </w:p>
        </w:tc>
        <w:tc>
          <w:tcPr>
            <w:tcW w:type="dxa" w:w="623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Рост в 2017 году и высокий уровень в 2018 году; крайние неполные месяцы дают близкие к нулю значения.</w:t>
            </w:r>
          </w:p>
        </w:tc>
      </w:tr>
      <w:tr>
        <w:tc>
          <w:tcPr>
            <w:tcW w:type="dxa" w:w="2835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Оценки</w:t>
            </w:r>
          </w:p>
        </w:tc>
        <w:tc>
          <w:tcPr>
            <w:tcW w:type="dxa" w:w="623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Преобладает оценка 5; отрицательные оценки заметно менее распространены.</w:t>
            </w:r>
          </w:p>
        </w:tc>
      </w:tr>
      <w:tr>
        <w:tc>
          <w:tcPr>
            <w:tcW w:type="dxa" w:w="2835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Оплата</w:t>
            </w:r>
          </w:p>
        </w:tc>
        <w:tc>
          <w:tcPr>
            <w:tcW w:type="dxa" w:w="623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Около трёх четвертей заказов оплачены кредитной картой, около одной пятой — boleto.</w:t>
            </w:r>
          </w:p>
        </w:tc>
      </w:tr>
      <w:tr>
        <w:tc>
          <w:tcPr>
            <w:tcW w:type="dxa" w:w="2835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Категории</w:t>
            </w:r>
          </w:p>
        </w:tc>
        <w:tc>
          <w:tcPr>
            <w:tcW w:type="dxa" w:w="623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Лидируют health_beauty, watches_gifts и bed_bath_table.</w:t>
            </w:r>
          </w:p>
        </w:tc>
      </w:tr>
      <w:tr>
        <w:tc>
          <w:tcPr>
            <w:tcW w:type="dxa" w:w="2835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Выручка</w:t>
            </w:r>
          </w:p>
        </w:tc>
        <w:tc>
          <w:tcPr>
            <w:tcW w:type="dxa" w:w="623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Суммарная стоимость товарных позиций — 13 591 643,70 R$, на панели округлена до 14 млн R$.</w:t>
            </w:r>
          </w:p>
        </w:tc>
      </w:tr>
      <w:tr>
        <w:tc>
          <w:tcPr>
            <w:tcW w:type="dxa" w:w="2835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Уникальные покупатели</w:t>
            </w:r>
          </w:p>
        </w:tc>
        <w:tc>
          <w:tcPr>
            <w:tcW w:type="dxa" w:w="623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В справочнике содержится 95 420 уникальных customer_unique_id, на панели значение округлено до 96 тыс.</w:t>
            </w:r>
          </w:p>
        </w:tc>
      </w:tr>
    </w:tbl>
    <w:p>
      <w:pPr>
        <w:pStyle w:val="Heading1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 Вывод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В ходе практической работы подготовлена виртуальная серверная инфраструктура и развернут полный учебный контур хранения и анализа данных. PostgreSQL содержит 11 взаимосвязанных таблиц Olist и более 1,56 млн строк. Аналитические запросы показали лидирующие товарные категории, доминирование кредитных карт, снижение оценок при росте срока доставки и различие между рейтингами продавцов по активности и обороту. Grafana обеспечивает единое визуальное представление ключевых результатов.</w:t>
      </w:r>
    </w:p>
    <w:p>
      <w:pPr>
        <w:pStyle w:val="Heading1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7. Ответы на контрольные вопросы</w:t>
      </w:r>
    </w:p>
    <w:p>
      <w:pPr>
        <w:pStyle w:val="ControlQuestion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 Почему создание таблиц должно выполняться до импорта данных из CSV-файлов?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Импорт выполняется в уже существующий объект с определёнными столбцами и типами. Предварительное создание таблиц позволяет задать ключи, ограничения и порядок загрузки, а СУБД может сразу проверять корректность данных.</w:t>
      </w:r>
    </w:p>
    <w:p>
      <w:pPr>
        <w:pStyle w:val="ControlQuestion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2. Какие проблемы могут возникнуть, если структура CSV-файла не соответствует структуре целевой таблицы?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Возможны смещение значений по столбцам, ошибки преобразования типов, нарушение ограничений NOT NULL и потеря части данных. Даже успешная загрузка может дать логически неверные значения, если порядок столбцов не совпал.</w:t>
      </w:r>
    </w:p>
    <w:p>
      <w:pPr>
        <w:pStyle w:val="ControlQuestion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 Что произойдёт при попытке загрузить строку с внешним ключом без записи в родительской таблице?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При активном ограничении FOREIGN KEY PostgreSQL отклонит строку и сообщит о нарушении ссылочной целостности. Поэтому родительские справочники загружаются раньше дочерних таблиц либо проблемная ссылка предварительно нормализуется.</w:t>
      </w:r>
    </w:p>
    <w:p>
      <w:pPr>
        <w:pStyle w:val="ControlQuestion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 Почему перед импортом взаимосвязанных таблиц необходимо определить зависимости между ними?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Зависимости задают правильную последовательность загрузки: сначала таблицы, на которые ссылаются, затем таблицы с внешними ключами. Это предотвращает ошибки и упрощает повторный запуск импорта.</w:t>
      </w:r>
    </w:p>
    <w:p>
      <w:pPr>
        <w:pStyle w:val="ControlQuestion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5. Для чего используется GROUP BY при решении аналитических задач?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GROUP BY объединяет строки с одинаковыми значениями выбранных признаков и позволяет вычислять агрегаты для каждой группы. В работе он использован для категорий, способов оплаты, интервалов доставки и продавцов.</w:t>
      </w:r>
    </w:p>
    <w:p>
      <w:pPr>
        <w:pStyle w:val="ControlQuestion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 Почему иногда нужен COUNT(DISTINCT order_id), а не COUNT(*)?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COUNT(*) считает строки результата, а один заказ может содержать несколько позиций, платежей или отзывов. COUNT(DISTINCT order_id) устраняет такое размножение и возвращает число уникальных заказов.</w:t>
      </w:r>
    </w:p>
    <w:p>
      <w:pPr>
        <w:pStyle w:val="ControlQuestion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7. Для чего используется ORDER BY ... DESC при построении рейтингов?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DESC сортирует значения от большего к меньшему. После такой сортировки LIMIT 10 выбирает десять лидеров по заданной метрике.</w:t>
      </w:r>
    </w:p>
    <w:p>
      <w:pPr>
        <w:pStyle w:val="ControlQuestion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8. Что означает источник данных в Grafana и что указывается для PostgreSQL?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Источник данных — настроенное соединение, через которое Grafana выполняет запросы. Для PostgreSQL указываются адрес и порт сервера, база данных, пользователь, пароль, режим TLS и параметры версии/совместимости.</w:t>
      </w:r>
    </w:p>
    <w:p>
      <w:pPr>
        <w:pStyle w:val="ControlQuestion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9. Почему для динамики заказов подходит линейный график, а не круговая диаграмма?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Линейный график сохраняет хронологический порядок и показывает тренд, пики и сезонность. Круговая диаграмма сравнивает доли категорий и не передаёт последовательность изменения во времени.</w:t>
      </w:r>
    </w:p>
    <w:p>
      <w:pPr>
        <w:pStyle w:val="ControlQuestion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10. Чем преобразование данных в Grafana отличается от преобразования в SQL?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SQL-преобразование выполняется на стороне базы до передачи результата и обычно лучше масштабируется. Преобразования Grafana применяются к уже полученным наборам и удобны для объединения, переименования и подготовки полей конкретной панели.</w:t>
      </w:r>
    </w:p>
    <w:p>
      <w:pPr>
        <w:pStyle w:val="ControlQuestion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11. Что может означать отсутствие данных на панели при исправном подключении?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Причинами могут быть неверный временной диапазон, фильтры, ошибка в SQL, отсутствие прав на таблицу, NULL в поле времени или несовпадение формата результата с выбранным типом панели. Проверку начинают с Query inspector и запуска запроса без ограничений.</w:t>
      </w:r>
    </w:p>
    <w:p>
      <w:pPr>
        <w:pStyle w:val="ControlQuestion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12. Почему визуализация должна сопровождаться текстовой интерпретацией?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График показывает форму данных, но не фиксирует главный вывод, ограничения и возможные причины. Текст связывает наблюдение с задачей, уточняет единицы измерения и не позволяет принять корреляцию за доказанную причинность.</w:t>
      </w:r>
    </w:p>
    <w:p>
      <w:pPr>
        <w:pStyle w:val="Heading1"/>
        <w:keepNext/>
        <w:keepLines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8. Использованные источники</w:t>
      </w:r>
    </w:p>
    <w:p>
      <w:pPr>
        <w:pStyle w:val="ListBullet"/>
        <w:spacing w:line="360" w:lineRule="auto" w:after="0"/>
        <w:ind w:left="425" w:hanging="283"/>
      </w:pPr>
      <w:r>
        <w:rPr>
          <w:rFonts w:ascii="Times New Roman" w:hAnsi="Times New Roman" w:eastAsia="Times New Roman" w:cs="Times New Roman"/>
          <w:color w:val="000000"/>
          <w:sz w:val="28"/>
        </w:rPr>
        <w:t>Ubuntu Server 22.04.5 LTS — официальный образ Canonical.</w:t>
      </w:r>
    </w:p>
    <w:p>
      <w:pPr>
        <w:pStyle w:val="ListBullet"/>
        <w:spacing w:line="360" w:lineRule="auto" w:after="0"/>
        <w:ind w:left="425" w:hanging="283"/>
      </w:pPr>
      <w:r>
        <w:rPr>
          <w:rFonts w:ascii="Times New Roman" w:hAnsi="Times New Roman" w:eastAsia="Times New Roman" w:cs="Times New Roman"/>
          <w:color w:val="000000"/>
          <w:sz w:val="28"/>
        </w:rPr>
        <w:t>Docker Engine — официальная документация установки для Ubuntu.</w:t>
      </w:r>
    </w:p>
    <w:p>
      <w:pPr>
        <w:pStyle w:val="ListBullet"/>
        <w:spacing w:line="360" w:lineRule="auto" w:after="0"/>
        <w:ind w:left="425" w:hanging="283"/>
      </w:pPr>
      <w:r>
        <w:rPr>
          <w:rFonts w:ascii="Times New Roman" w:hAnsi="Times New Roman" w:eastAsia="Times New Roman" w:cs="Times New Roman"/>
          <w:color w:val="000000"/>
          <w:sz w:val="28"/>
        </w:rPr>
        <w:t>Arenadata Cluster Manager — документация по созданию и загрузке бандлов и API v2.</w:t>
      </w:r>
    </w:p>
    <w:p>
      <w:pPr>
        <w:pStyle w:val="ListBullet"/>
        <w:spacing w:line="360" w:lineRule="auto" w:after="0"/>
        <w:ind w:left="425" w:hanging="283"/>
      </w:pPr>
      <w:r>
        <w:rPr>
          <w:rFonts w:ascii="Times New Roman" w:hAnsi="Times New Roman" w:eastAsia="Times New Roman" w:cs="Times New Roman"/>
          <w:color w:val="000000"/>
          <w:sz w:val="28"/>
        </w:rPr>
        <w:t>Brazilian E-Commerce Public Dataset by Olist — открытый набор данных для учебного анализа.</w:t>
      </w:r>
    </w:p>
    <w:p>
      <w:pPr>
        <w:pStyle w:val="ListBullet"/>
        <w:spacing w:line="360" w:lineRule="auto" w:after="0"/>
        <w:ind w:left="425" w:hanging="283"/>
      </w:pPr>
      <w:r>
        <w:rPr>
          <w:rFonts w:ascii="Times New Roman" w:hAnsi="Times New Roman" w:eastAsia="Times New Roman" w:cs="Times New Roman"/>
          <w:color w:val="000000"/>
          <w:sz w:val="28"/>
        </w:rPr>
        <w:t>Grafana — документация по источнику данных PostgreSQL и панелям визуализации.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2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0" w:right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 w:left="0" w:righ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Body">
    <w:name w:val="Report Body"/>
    <w:basedOn w:val="Normal"/>
    <w:pPr>
      <w:widowControl/>
      <w:spacing w:line="360" w:lineRule="auto" w:before="0" w:after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ableCaptionReport">
    <w:name w:val="Table Caption Report"/>
    <w:basedOn w:val="Normal"/>
    <w:pPr>
      <w:spacing w:line="240" w:lineRule="auto" w:before="120" w:after="60"/>
      <w:ind w:firstLine="0" w:left="0" w:right="0"/>
      <w:jc w:val="left"/>
    </w:pPr>
    <w:rPr>
      <w:rFonts w:ascii="Times New Roman" w:hAnsi="Times New Roman" w:eastAsia="Times New Roman" w:cs="Times New Roman"/>
      <w:i/>
      <w:color w:val="000000"/>
      <w:sz w:val="24"/>
    </w:rPr>
  </w:style>
  <w:style w:type="paragraph" w:customStyle="1" w:styleId="FigureCaptionReport">
    <w:name w:val="Figure Caption Report"/>
    <w:basedOn w:val="Normal"/>
    <w:pPr>
      <w:spacing w:line="240" w:lineRule="auto" w:before="60" w:after="120"/>
      <w:ind w:firstLine="0" w:left="0" w:right="0"/>
      <w:jc w:val="center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ControlQuestion">
    <w:name w:val="Control Question"/>
    <w:basedOn w:val="Normal"/>
    <w:pPr>
      <w:spacing w:line="360" w:lineRule="auto" w:before="120" w:after="40"/>
      <w:ind w:firstLine="0" w:left="0" w:right="0"/>
      <w:jc w:val="left"/>
    </w:pPr>
    <w:rPr>
      <w:rFonts w:ascii="Times New Roman" w:hAnsi="Times New Roman" w:eastAsia="Times New Roman" w:cs="Times New Roman"/>
      <w:b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№2. Система хранения данных</dc:title>
  <dc:subject>Технологии и инструментарий анализа больших данных</dc:subject>
  <dc:creator>Албахтин И.В.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