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Droid Sans Fallback" w:hAnsi="Times New Roman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 ПО ПРАКТИЧЕСКОЙ РАБОТЕ № 2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«Информационный менеджмент»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Droid Sans Fallback" w:hAnsi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Пяткин В.В.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/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  <w:r w:rsidRPr="00867FE9">
        <w:rPr>
          <w:rFonts w:ascii="Times New Roman" w:eastAsia="Droid Sans Fallback" w:hAnsi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/>
      </w:pPr>
      <w:r>
        <w:t>Практическая работа 2</w:t>
        <w:br/>
        <w:t>Исследование информационных потоков</w:t>
      </w:r>
    </w:p>
    <w:p>
      <w:pPr>
        <w:pStyle w:val="Heading2"/>
      </w:pPr>
      <w:r>
        <w:t>1 Цель и индивидуальное задание</w:t>
      </w:r>
    </w:p>
    <w:p>
      <w:pPr>
        <w:pStyle w:val="Основнойтекстотчёта"/>
      </w:pPr>
      <w:r>
        <w:t>Цель работы — исследовать информационные потоки процесса формирования и актуализации карточек компьютерных систем ООО «Юкомс», определить источники и получателей документов, способы их обработки и участки, требующие автоматизации [1].</w:t>
      </w:r>
    </w:p>
    <w:p>
      <w:pPr>
        <w:pStyle w:val="Основнойтекстотчёта"/>
      </w:pPr>
      <w:r>
        <w:t>Индивидуальное задание: продолжить обследование выбранного в практике 1 процесса, составить реестр потоков, описать формирование документов и показателей, построить информационную модель и обосновать дальнейшую автоматизацию.</w:t>
      </w:r>
    </w:p>
    <w:p>
      <w:pPr>
        <w:pStyle w:val="Heading2"/>
      </w:pPr>
      <w:r>
        <w:t>2 Этапы выполнения работы</w:t>
      </w:r>
    </w:p>
    <w:p>
      <w:pPr>
        <w:pStyle w:val="Основнойтекстотчёта"/>
      </w:pPr>
      <w:r>
        <w:t>Работа выполнена в пять этапов: изучены результаты первой практики; выделены участники и документы; сформирован реестр с едиными кодами потоков; описаны маршруты и правила обработки данных; построена схема обмена и определены проблемные участки.</w:t>
      </w:r>
    </w:p>
    <w:p>
      <w:pPr>
        <w:pStyle w:val="Heading2"/>
      </w:pPr>
      <w:r>
        <w:t>3 Границы обследования</w:t>
      </w:r>
    </w:p>
    <w:p>
      <w:pPr>
        <w:pStyle w:val="Основнойтекстотчёта"/>
      </w:pPr>
      <w:r>
        <w:t>Исследуемая система — организация ООО «Юкомс», а область детализации — подготовка карточек для Ozon. Поэтому обмен со складом, производством и дизайнером считается внутренним по отношению к организации; обмен с поставщиками и Ozon — внешним. Физическая сборка, доставка и бухгалтерский учёт остаются за границами процесса.</w:t>
      </w:r>
    </w:p>
    <w:p>
      <w:pPr>
        <w:pStyle w:val="Основнойтекстотчёта"/>
      </w:pPr>
      <w:r>
        <w:t>BOM — спецификация состава компьютера с кодами и количеством компонентов. Основной получатель информации — менеджер маркетплейсов. Он объединяет технические, коммерческие и визуальные сведения и передаёт результат на публикацию [2].</w:t>
      </w:r>
    </w:p>
    <w:p>
      <w:pPr>
        <w:pStyle w:val="1"/>
        <w:pageBreakBefore/>
      </w:pPr>
      <w:r>
        <w:t>4 Подготовка обследования и интервью</w:t>
      </w:r>
    </w:p>
    <w:p>
      <w:pPr>
        <w:pStyle w:val="Основнойтекстотчёта"/>
      </w:pPr>
      <w:r>
        <w:t>В качестве исходных сведений использованы описание объекта, организационная структура и проблемы из первой практики [2]. Для уточнения процессов применяется метод типических групп: изучается один тип документа и его варианты, включая ошибочный документ и повторную обработку. Программа интервью приведена в таблице 1.</w:t>
      </w:r>
    </w:p>
    <w:p>
      <w:pPr>
        <w:pStyle w:val="Подписьтаблицы"/>
      </w:pPr>
      <w:r>
        <w:t>Таблица 1 – Программа интервью с участниками процесса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13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Основные вопросы</w:t>
            </w:r>
          </w:p>
        </w:tc>
        <w:tc>
          <w:tcPr>
            <w:tcW w:type="dxa" w:w="413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Что требуется проверить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Как создаётся карточка? Где сверяются цена, состав и статус?</w:t>
            </w:r>
          </w:p>
        </w:tc>
        <w:tc>
          <w:tcPr>
            <w:tcW w:type="dxa" w:w="413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Маршрут F02–F11, повторный ввод, объём карточек и возвратов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Кто утверждает BOM? Как проверяются совместимость и замены?</w:t>
            </w:r>
          </w:p>
        </w:tc>
        <w:tc>
          <w:tcPr>
            <w:tcW w:type="dxa" w:w="413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Версии F04, правила F07, поиск связанных конфигураций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Склад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Как определяется доступное количество? Когда обновляются остатки?</w:t>
            </w:r>
          </w:p>
        </w:tc>
        <w:tc>
          <w:tcPr>
            <w:tcW w:type="dxa" w:w="413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Связь кодов, резервы и время актуальности F05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Дизайнер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Как определяется актуальность изображения после замены детали?</w:t>
            </w:r>
          </w:p>
        </w:tc>
        <w:tc>
          <w:tcPr>
            <w:tcW w:type="dxa" w:w="413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Связь задания F08, файлов F09 и версии BOM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ИТ-поддержка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Как фиксируются сбои и устанавливается результат повторной отправки?</w:t>
            </w:r>
          </w:p>
        </w:tc>
        <w:tc>
          <w:tcPr>
            <w:tcW w:type="dxa" w:w="413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Состав F12/F14 и сохранность исходных ответов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Директор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Какие показатели нужны для распределения работ?</w:t>
            </w:r>
          </w:p>
        </w:tc>
        <w:tc>
          <w:tcPr>
            <w:tcW w:type="dxa" w:w="413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Состав F13, период контроля и допустимый срок подготовки</w:t>
            </w:r>
          </w:p>
        </w:tc>
      </w:tr>
    </w:tbl>
    <w:p>
      <w:pPr>
        <w:pStyle w:val="Основнойтекстотчёта"/>
      </w:pPr>
      <w:r>
        <w:t>Фактические интервью в материалах проекта не зафиксированы. Программа предназначена для последующей проверки модели с сотрудниками. Периодичность в реестре задана для расчётного сценария: 22 рабочих дня, 100 операций подготовки или обновления карточек в месяц, из них 40 с изменением конфигурации. Это оценка нагрузки, а не статистика организации.</w:t>
      </w:r>
    </w:p>
    <w:p>
      <w:pPr>
        <w:spacing w:before="0" w:after="0" w:line="240" w:lineRule="auto"/>
        <w:sectPr>
          <w:footerReference w:type="default" r:id="rId28"/>
          <w:footerReference w:type="first" r:id="rId29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</w:p>
    <w:p>
      <w:pPr>
        <w:pStyle w:val="1"/>
      </w:pPr>
      <w:r>
        <w:t>5 Реестр информационных потоков</w:t>
      </w:r>
    </w:p>
    <w:p>
      <w:pPr>
        <w:pStyle w:val="Основнойтекстотчёта"/>
      </w:pPr>
      <w:r>
        <w:t>В таблице 2 приведены исходные и промежуточные потоки. Обозначения «внутр.» и «внеш.» относятся к границе организации. Единица периодичности — пакет данных, документ или операция в месяц; пакет может содержать несколько строк.</w:t>
      </w:r>
    </w:p>
    <w:p>
      <w:pPr>
        <w:pStyle w:val="Подписьтаблицы"/>
      </w:pPr>
      <w:r>
        <w:t>Таблица 2 – Исходные и промежуточные потоки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381"/>
        <w:gridCol w:w="1814"/>
        <w:gridCol w:w="1701"/>
        <w:gridCol w:w="1701"/>
        <w:gridCol w:w="1134"/>
        <w:gridCol w:w="481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потока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Потребитель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Раз/мес.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Обобщённое описание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F01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Задание на ассортимент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вертик.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Директор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Приоритеты, сроки и перечень конфигураций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F02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Предложения поставщиков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Внеш., входящий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Поставщики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Артикул, модель, закупочная цена, наличие, дата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F03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Запрос на подбор или замену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Идентификатор BOM, компонент и основание замены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F04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Согласованная BOM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Версия спецификации, компоненты и количества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F05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Остатки и резервы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Склад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Код компонента, доступное количество и время сверки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F06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Расчётная ведомость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Внутри отдела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Расчёт цены и массы по BOM и предложениям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F07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Заключение о совместимости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Проверенные ограничения и перечень замечаний</w:t>
            </w:r>
          </w:p>
        </w:tc>
      </w:tr>
    </w:tbl>
    <w:p>
      <w:pPr>
        <w:pStyle w:val="Основнойтекстотчёта"/>
      </w:pPr>
      <w:r>
        <w:t>F06 — результат преобразования информации внутри отдела: менеджер формирует ведомость и использует её при заполнении карточки. Выделение этого потока позволяет показать ручной перенос рассчитанных значений в F10.</w:t>
      </w:r>
    </w:p>
    <w:p>
      <w:pPr>
        <w:pStyle w:val="1"/>
        <w:pageBreakBefore/>
      </w:pPr>
      <w:r>
        <w:t>5 Реестр информационных потоков — продолжение</w:t>
      </w:r>
    </w:p>
    <w:p>
      <w:pPr>
        <w:pStyle w:val="Основнойтекстотчёта"/>
      </w:pPr>
      <w:r>
        <w:t>Потоки подготовки изображений, публикации и обратной связи представлены в таблице 3. На схеме используются те же коды. Дополнительные отправки учитываются отдельно от 100 первичных операций.</w:t>
      </w:r>
    </w:p>
    <w:p>
      <w:pPr>
        <w:pStyle w:val="Подписьтаблицы"/>
      </w:pPr>
      <w:r>
        <w:t>Таблица 3 – Публикация и обратная связь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381"/>
        <w:gridCol w:w="1814"/>
        <w:gridCol w:w="1701"/>
        <w:gridCol w:w="1701"/>
        <w:gridCol w:w="1134"/>
        <w:gridCol w:w="481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потока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Источник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Потребитель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Раз/мес.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Обобщённое описание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F08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Задание на изображения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Дизайнер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Модель ПК, состав, ракурсы и обязательные сведения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F09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Комплект изображений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Дизайнер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Файлы и связь с конфигурацией, дата подготовки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F10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Карточка на публикацию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Внеш., исходящий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Ozon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Название, описание, характеристики, цена, масса, изображения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F11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 публикации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Внеш., входящий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Ozon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 + r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Статус обработки или замечания; r — дополнительные попытки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F12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Сообщение об ошибке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ИТ-поддержка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 событию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Карточка, время, описание сбоя и исходный ответ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F13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Сводка по карточкам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вертик.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Директор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Готовность, сроки, возвраты и нерешённые проблемы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F14</w:t>
            </w:r>
          </w:p>
        </w:tc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 устранения сбоя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Внутр., горизонт.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ИТ-поддержка</w:t>
            </w:r>
          </w:p>
        </w:tc>
        <w:tc>
          <w:tcPr>
            <w:tcW w:type="dxa" w:w="170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</w:t>
            </w:r>
          </w:p>
        </w:tc>
        <w:tc>
          <w:tcPr>
            <w:tcW w:type="dxa" w:w="113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 F12</w:t>
            </w:r>
          </w:p>
        </w:tc>
        <w:tc>
          <w:tcPr>
            <w:tcW w:type="dxa" w:w="4819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Причина, выполненные действия и возможность повтора</w:t>
            </w:r>
          </w:p>
        </w:tc>
      </w:tr>
    </w:tbl>
    <w:p>
      <w:pPr>
        <w:pStyle w:val="Основнойтекстотчёта"/>
      </w:pPr>
      <w:r>
        <w:t>Периодичность F10 в расчётном сценарии составляет 100 первичных отправок; при повторной публикации фактическое число отправок также увеличивается на r. F11 содержит подтверждение или замечания по каждой отправке, поэтому 100 + r — число результатов при завершённой обработке всех попыток.</w:t>
      </w:r>
    </w:p>
    <w:p>
      <w:pPr>
        <w:pStyle w:val="1"/>
        <w:pageBreakBefore/>
      </w:pPr>
      <w:r>
        <w:t>6 Информационная модель процесса</w:t>
      </w:r>
    </w:p>
    <w:p>
      <w:pPr>
        <w:pStyle w:val="Основнойтекстотчёта"/>
      </w:pPr>
      <w:r>
        <w:t>На рисунке 1 показаны источники, получатели и направления обмена. Прямоугольники обозначают участников, стрелки — потоки документов; F06 формируется внутри отдела электронной коммерции.</w:t>
      </w:r>
    </w:p>
    <w:p>
      <w:pPr>
        <w:keepNext/>
        <w:spacing w:before="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6500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flow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 – Информационные потоки подготовки и актуализации карточек</w:t>
      </w:r>
    </w:p>
    <w:p>
      <w:pPr>
        <w:spacing w:before="0" w:after="0" w:line="240" w:lineRule="auto"/>
        <w:sectPr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7 Формализация документов и показателей</w:t>
      </w:r>
    </w:p>
    <w:p>
      <w:pPr>
        <w:pStyle w:val="Основнойтекстотчёта"/>
      </w:pPr>
      <w:r>
        <w:t>Для связи документов используются код компонента, идентификатор BOM, номер её версии, идентификатор карточки и дата операции. Состав ключевых документов и правила заполнения представлены в таблице 4.</w:t>
      </w:r>
    </w:p>
    <w:p>
      <w:pPr>
        <w:pStyle w:val="Подписьтаблицы"/>
      </w:pPr>
      <w:r>
        <w:t>Таблица 4 – Реквизиты и правила формирования документов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Документ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Обязательные реквизиты</w:t>
            </w:r>
          </w:p>
        </w:tc>
        <w:tc>
          <w:tcPr>
            <w:tcW w:type="dxa" w:w="408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Формирование и контроль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BOM, F04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Код и версия BOM; компонент; количество; автор; дата согласования</w:t>
            </w:r>
          </w:p>
        </w:tc>
        <w:tc>
          <w:tcPr>
            <w:tcW w:type="dxa" w:w="408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Производство задаёт состав; количества положительные; замена создаёт новую версию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Ведомость, F06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Версия BOM; цены; количества; затраты на сборку; наценка; масса</w:t>
            </w:r>
          </w:p>
        </w:tc>
        <w:tc>
          <w:tcPr>
            <w:tcW w:type="dxa" w:w="408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 использует предложения одной даты сверки; отсутствующие цены не заменяет нулями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Карточка, F10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Код карточки; версия BOM; название; характеристики; цена; масса; файлы</w:t>
            </w:r>
          </w:p>
        </w:tc>
        <w:tc>
          <w:tcPr>
            <w:tcW w:type="dxa" w:w="408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 переносит согласованные данные; сверяет полноту и соответствие изображений составу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Результат, F11</w:t>
            </w:r>
          </w:p>
        </w:tc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Код карточки; время отправки; статус; замечания</w:t>
            </w:r>
          </w:p>
        </w:tc>
        <w:tc>
          <w:tcPr>
            <w:tcW w:type="dxa" w:w="408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Ответ сохраняется вместе с отправленным вариантом; отсутствие ответа не означает успешную публикацию</w:t>
            </w:r>
          </w:p>
        </w:tc>
      </w:tr>
    </w:tbl>
    <w:p>
      <w:pPr>
        <w:pStyle w:val="Основнойтекстотчёта"/>
      </w:pPr>
      <w:r>
        <w:t>Для каждого документа предусматривается один рабочий экземпляр; переданные файлы являются копиями, которые необходимо сопоставлять по версии. В исходной технологии файлы и сообщения хранятся раздельно, поэтому факт отправки ещё не подтверждает актуальность копии у получателя.</w:t>
      </w:r>
    </w:p>
    <w:p>
      <w:pPr>
        <w:pStyle w:val="Основнойтекстотчёта"/>
      </w:pPr>
      <w:r>
        <w:t>Расчётная ведомость использует себестоимость компонентов S = Σ(qᵢ × pᵢ), цену P = (S + A) × (1 + k), массу M = Σ(qᵢ × mᵢ) + mуп. Здесь A — затраты на сборку, k — наценка, mуп — масса упаковки. Эта упрощённая схема расчёта предназначена для модели; комиссии и скидки задаются отдельными правилами при уточнении требований.</w:t>
      </w:r>
    </w:p>
    <w:p>
      <w:pPr>
        <w:pStyle w:val="1"/>
        <w:pageBreakBefore/>
      </w:pPr>
      <w:r>
        <w:t>8 Анализ потоков и выводы</w:t>
      </w:r>
    </w:p>
    <w:p>
      <w:pPr>
        <w:pStyle w:val="Основнойтекстотчёта"/>
      </w:pPr>
      <w:r>
        <w:t>Маршрут новой карточки начинается с F01, после чего менеджер собирает F02 и F05, инициирует F03 и получает F04/F07. На основе согласованного состава создаются F06 и задание F08; затем F09 включается в F10. Ответ F11 завершает публикацию либо запускает исправление. Технические сбои передаются в F12 и закрываются сообщением F14; состояние работ обобщается в F13.</w:t>
      </w:r>
    </w:p>
    <w:p>
      <w:pPr>
        <w:pStyle w:val="Основнойтекстотчёта"/>
      </w:pPr>
      <w:r>
        <w:t>При актуализации карточки изменение цены F02 или остатка F05 требует проверки всех зависимых BOM. Изменение состава дополнительно возвращает работу к F03/F04, F07 и при необходимости F08/F09. Этот маршрут выявляет главный недостаток исходной технологии: связь между компонентом, спецификацией, расчётом и карточкой поддерживается вручную.</w:t>
      </w:r>
    </w:p>
    <w:p>
      <w:pPr>
        <w:pStyle w:val="Основнойтекстотчёта"/>
      </w:pPr>
      <w:r>
        <w:t>Для оценки скорости обмена регистрируются время отправки, получения и начала обработки документа. Разности этих отметок показывают задержку передачи и ожидание обработки. Интенсивность определяется числом принятых документов за рабочий день. Фактические значения собираются в журнале наблюдений.</w:t>
      </w:r>
    </w:p>
    <w:p>
      <w:pPr>
        <w:pStyle w:val="Основнойтекстотчёта"/>
      </w:pPr>
      <w:r>
        <w:t>Всего выделено 14 информационных потоков. Ручное объединение F02/F04/F05, перенос F06 в F10, несогласованные версии F04/F09 и раздельная обратная связь F11/F12 затрудняют контроль. Для автоматизации необходимы единые идентификаторы, хранение версий, централизованный расчёт, проверка полноты и журнал публикаций. Результаты используются в практике 3 для постановки задач проекта и в практике 4 для модели «как есть».</w:t>
      </w:r>
    </w:p>
    <w:p>
      <w:pPr>
        <w:pStyle w:val="Heading2"/>
      </w:pPr>
      <w:r>
        <w:t>Источники</w:t>
      </w:r>
    </w:p>
    <w:p>
      <w:pPr>
        <w:pStyle w:val="Основнойтекстотчёта"/>
      </w:pPr>
      <w:r>
        <w:t>1. Информационный менеджмент. Методические указания к практике. Практическая работа 2. С. 9–15.</w:t>
      </w:r>
    </w:p>
    <w:p>
      <w:pPr>
        <w:pStyle w:val="Основнойтекстотчёта"/>
      </w:pPr>
      <w:r>
        <w:t>2. Албахтин И.В. Информационный менеджмент. Практическая работа 1. Экспресс-обследование ООО «Юкомс». Москва, 2026.</w:t>
      </w:r>
    </w:p>
    <w:sectPr w:rsidR="004651E5" w:rsidRPr="002A2FAC" w:rsidSect="002A2FAC"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4"/>
      </w:rPr>
    </w:r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widowControl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Основнойтекстотчёта">
    <w:name w:val="Основной текст отчёта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Тексттаблицы">
    <w:name w:val="Текст таблицы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Подписьтаблицы">
    <w:name w:val="Подпись таблицы"/>
    <w:pPr>
      <w:keepNext/>
      <w:keepLines/>
      <w:widowControl/>
      <w:spacing w:line="240" w:lineRule="auto" w:before="120" w:after="60"/>
      <w:ind w:firstLine="0" w:left="0" w:right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Подписьрисунка">
    <w:name w:val="Подпись рисунка"/>
    <w:pPr>
      <w:keepLines/>
      <w:widowControl/>
      <w:spacing w:line="240" w:lineRule="auto" w:before="60" w:after="120"/>
      <w:ind w:firstLine="0" w:left="0" w:right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60" w:lineRule="auto" w:before="240" w:after="120"/>
      <w:ind w:firstLine="0" w:left="0" w:right="0"/>
      <w:jc w:val="left"/>
      <w:outlineLvl w:val="1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Информационный менеджмент. Практическая работа 2. Исследование информационных потоков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