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Droid Sans Fallback" w:hAnsi="Times New Roman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 № 5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«Информационный менеджмент»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Droid Sans Fallback" w:hAnsi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Пяткин В.В.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/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  <w:r w:rsidRPr="00867FE9">
        <w:rPr>
          <w:rFonts w:ascii="Times New Roman" w:eastAsia="Droid Sans Fallback" w:hAnsi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t>Практическая работа 5</w:t>
        <w:br/>
        <w:t>Моделирование бизнес-процесса «как должно быть»</w:t>
      </w:r>
    </w:p>
    <w:p>
      <w:pPr>
        <w:pStyle w:val="Heading2"/>
      </w:pPr>
      <w:r>
        <w:t>1 Цель и индивидуальное задание</w:t>
      </w:r>
    </w:p>
    <w:p>
      <w:pPr>
        <w:pStyle w:val="Основнойтекстотчёта"/>
      </w:pPr>
      <w:r>
        <w:t>Цель работы — разработать новую технологию формирования и актуализации карточек компьютерных систем ООО «Юкомс», определить изменённые потоки и подпроцессы, построить модель «как должно быть» и оценить ожидаемые результаты преобразования [1].</w:t>
      </w:r>
    </w:p>
    <w:p>
      <w:pPr>
        <w:pStyle w:val="Основнойтекстотчёта"/>
      </w:pPr>
      <w:r>
        <w:t>Индивидуальное задание: преобразовать модель практики 4, сохранив границы процесса и конечного потребителя результата; описать автоматизированные действия, правила принятия решений, ответственность, отчётность и показатели успешности изменения.</w:t>
      </w:r>
    </w:p>
    <w:p>
      <w:pPr>
        <w:pStyle w:val="Heading2"/>
      </w:pPr>
      <w:r>
        <w:t>2 Этапы выполнения работы</w:t>
      </w:r>
    </w:p>
    <w:p>
      <w:pPr>
        <w:pStyle w:val="Основнойтекстотчёта"/>
      </w:pPr>
      <w:r>
        <w:t>Проанализированы причины проблем P-01–P-06; определены новые правила обработки и документы; построены контекст и декомпозиция IDEF0; описано взаимодействие сотрудников и ИС; заданы проверочные сценарии, метрики и порядок внедрения.</w:t>
      </w:r>
    </w:p>
    <w:p>
      <w:pPr>
        <w:pStyle w:val="Heading2"/>
      </w:pPr>
      <w:r>
        <w:t>3 Новая технология выполнения процесса</w:t>
      </w:r>
    </w:p>
    <w:p>
      <w:pPr>
        <w:pStyle w:val="Основнойтекстотчёта"/>
      </w:pPr>
      <w:r>
        <w:t>Данные о компонентах, предложениях, BOM и карточках хранятся в единой системе. Изменение компонента создаёт новую версию BOM и автоматически формирует перечень затронутых карточек. Расчёты и атрибуты формируются из согласованной версии, а не переносятся вручную между файлами.</w:t>
      </w:r>
    </w:p>
    <w:p>
      <w:pPr>
        <w:pStyle w:val="Основнойтекстотчёта"/>
      </w:pPr>
      <w:r>
        <w:t>Система проверяет ограничения и полноту, но решение о допустимости состава принимает производство, а решение о публикации — менеджер. Дизайнер подтверждает соответствие изображений. Отправленный пакет сохраняется вместе с версией, временем, автором и ответом внешней системы. Владелец процесса — генеральный директор, координатор — менеджер маркетплейсов.</w:t>
      </w:r>
    </w:p>
    <w:p>
      <w:pPr>
        <w:spacing w:before="0" w:after="0" w:line="240" w:lineRule="auto"/>
        <w:sectPr>
          <w:footerReference w:type="default" r:id="rId28"/>
          <w:footerReference w:type="first" r:id="rId29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</w:p>
    <w:p>
      <w:pPr>
        <w:pStyle w:val="1"/>
      </w:pPr>
      <w:r>
        <w:t>4 Изменения и устранение причин проблем</w:t>
      </w:r>
    </w:p>
    <w:p>
      <w:pPr>
        <w:pStyle w:val="Основнойтекстотчёта"/>
      </w:pPr>
      <w:r>
        <w:t>Таблица 1 показывает существенные отличия новой технологии. Для каждой проблемы указано изменение соответствующей функции и ожидаемый результат.</w:t>
      </w:r>
    </w:p>
    <w:p>
      <w:pPr>
        <w:pStyle w:val="Подписьтаблицы"/>
      </w:pPr>
      <w:r>
        <w:t>Таблица 1 – Сопоставление технологий выполнения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5386"/>
        <w:gridCol w:w="4365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Как есть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Как должно быть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Ответственный и эффект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P-01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Раздельные таблицы и повторное заполнение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Единые справочники; генерация расчётов и полей из версии BOM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Менеджер; сокращение повторного ввода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P-02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совместимости по отдельным сведениям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по справочнику правил до согласования BOM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Производство; предотвращение критических ошибок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P-03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Поиск затронутых карточек вручную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Расчёт зависимостей, новая версия, согласование изменений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 и менеджер; полнота актуализации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P-04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Сверка цен и наличия в разное время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Снимки с датами, проверка возраста данных перед отправкой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Менеджер; контроль актуальности предложения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P-05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Ошибки обнаруживаются при внешней обработке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обязательных атрибутов и изображений до публикации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и дизайнер; меньше возвратов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P-06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История в переписке и отдельных файлах</w:t>
            </w:r>
          </w:p>
        </w:tc>
        <w:tc>
          <w:tcPr>
            <w:tcW w:type="dxa" w:w="538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Единый журнал версии, согласования, попытки и ответа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 и менеджер; воспроизводимость и разбор сбоев</w:t>
            </w:r>
          </w:p>
        </w:tc>
      </w:tr>
    </w:tbl>
    <w:p>
      <w:pPr>
        <w:pStyle w:val="1"/>
        <w:pageBreakBefore/>
      </w:pPr>
      <w:r>
        <w:t>5 Контекст новой технологии</w:t>
      </w:r>
    </w:p>
    <w:p>
      <w:pPr>
        <w:pStyle w:val="Основнойтекстотчёта"/>
      </w:pPr>
      <w:r>
        <w:t>На рисунке 1 приведена целевая модель A-0. Входы и бизнес-управление сохранены; механизм M2 заменён проектируемой ИС. Дополнительный выход O4 объединяет документы автоматического контроля и прослеживаемости.</w:t>
      </w:r>
    </w:p>
    <w:p>
      <w:pPr>
        <w:keepNext/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4625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_contex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4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 – Контекстная диаграмма A-0 процесса «как должно быть»</w:t>
      </w:r>
    </w:p>
    <w:p>
      <w:pPr>
        <w:pStyle w:val="1"/>
        <w:pageBreakBefore/>
      </w:pPr>
      <w:r>
        <w:t>6 Потоки и ресурсы новой технологии</w:t>
      </w:r>
    </w:p>
    <w:p>
      <w:pPr>
        <w:pStyle w:val="Основнойтекстотчёта"/>
      </w:pPr>
      <w:r>
        <w:t>В таблице 2 раскрыты стрелки ICOM. Новые документы N01–N05 входят в выход O4.</w:t>
      </w:r>
    </w:p>
    <w:p>
      <w:pPr>
        <w:pStyle w:val="Подписьтаблицы"/>
      </w:pPr>
      <w:r>
        <w:t>Таблица 2 – ICOM новой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891"/>
        <w:gridCol w:w="4025"/>
        <w:gridCol w:w="6633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Ресурс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Источник или получатель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Краткое описание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 и исходная BOM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F01, F03; менеджер и производство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 с основанием и ссылкой на текущую версию BOM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Цены и остатки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F02, F05; поставщики и склад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Предложения и остатки с датами источника и загрузки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I3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Изображения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F09; дизайнер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Файлы изображений, связанные с версией BOM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I4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Ответ о публикации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F11; Ozon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Статус обработки либо замечания к отправленному пакету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Пакет карточки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F10; Ozon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Утверждённый пакет определённой версии карточки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Статус и замечания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F11/F12/F14; менеджер, производство, ИТ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Статус попытки, адресные замечания и ответственная роль для исправления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O3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Реестр и отчёт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F13; менеджер и директор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Очередь работ, актуальность данных, сроки, ошибки и показатели пилота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O4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Контрольные документы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Менеджер, производство, дизайнер, ИТ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N01–N05: проверки, зависимости, расчёт, изображения и история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Приоритеты и правила цены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Директор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Порядок работ, применяемая наценка и условия согласования цены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Правила совместимости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Допустимые сочетания сокета, памяти, размеров и мощности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C3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Требования к карточке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Правила выбранной категории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Обязательные характеристики, форматы и требования к содержанию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Участники процесса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Менеджер, производство, дизайнер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Подготовка, проверка и согласование данных; ИТ устраняет технические сбои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Средства выполнения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Рабочие места и используемые средства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Проектируемая ИС, единая БД, хранилище файлов, очередь публикаций и адаптеры обмена</w:t>
            </w:r>
          </w:p>
        </w:tc>
      </w:tr>
    </w:tbl>
    <w:p>
      <w:pPr>
        <w:pStyle w:val="1"/>
        <w:pageBreakBefore/>
      </w:pPr>
      <w:r>
        <w:t>7 Декомпозиция новой технологии</w:t>
      </w:r>
    </w:p>
    <w:p>
      <w:pPr>
        <w:pStyle w:val="Основнойтекстотчёта"/>
      </w:pPr>
      <w:r>
        <w:t>На рисунке 2 сохранены четыре функциональные области A1–A4 для сопоставления с практикой 4. Изменены внутренние процедуры, состав документов и распределение работы между сотрудниками и системой.</w:t>
      </w:r>
    </w:p>
    <w:p>
      <w:pPr>
        <w:keepNext/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650000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_decom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 – Декомпозиция A0 процесса «как должно быть»</w:t>
      </w:r>
    </w:p>
    <w:p>
      <w:pPr>
        <w:pStyle w:val="1"/>
        <w:pageBreakBefore/>
      </w:pPr>
      <w:r>
        <w:t>8 Взаимодействие целевых подпроцессов</w:t>
      </w:r>
    </w:p>
    <w:p>
      <w:pPr>
        <w:pStyle w:val="Основнойтекстотчёта"/>
      </w:pPr>
      <w:r>
        <w:t>Таблица 3 раскрывает преобразования данных и передачу ответственности. Управление: A1 — C1; A2 — C1/C2; A3 — C3; A4 — C1/C3. Средства M2 и участники M1 обеспечивают каждую функцию в пределах её полномочий.</w:t>
      </w:r>
    </w:p>
    <w:p>
      <w:pPr>
        <w:pStyle w:val="Подписьтаблицы"/>
      </w:pPr>
      <w:r>
        <w:t>Таблица 3 – Документы и ответственность целевых подпроцессов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324"/>
        <w:gridCol w:w="1417"/>
        <w:gridCol w:w="3969"/>
        <w:gridCol w:w="3402"/>
        <w:gridCol w:w="2494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Подпроцесс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Вход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Обработка и промежуточные данные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Выход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A1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Принять и нормализовать данные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I1, I2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формата, кодов, даты и дублей; сохранение снимка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D1: нормализованные данные и исходная версия BOM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 принимает; менеджер разрешает неоднозначности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A2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Проверить версию BOM и согласовать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D1; D4 при возврате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Автопроверка правил; анализ зависимостей; расчёт; согласование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D2: утверждённая версия BOM, расчёт и контрольные документы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 проверяет; производство согласует состав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A3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Сформировать и утвердить карточку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D2, I3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Генерация полей; проверка изображений, полноты и версии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D3: утверждённый неизменяемый пакет и ссылка на его версию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 формирует; дизайнер проверяет файлы; менеджер утверждает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A4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Опубликовать и проверить результат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D3, I4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Очередь отправки, сохранение попытки, проверка результата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O1–O4; D4: адресные замечания или изменения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 выполняет обмен; менеджер и ИТ разбирают исключения</w:t>
            </w:r>
          </w:p>
        </w:tc>
      </w:tr>
    </w:tbl>
    <w:p>
      <w:pPr>
        <w:pStyle w:val="Основнойтекстотчёта"/>
      </w:pPr>
      <w:r>
        <w:t>Баланс сохраняется: I1/I2 входят в A1, I3 — в A3, I4 — в A4. D1–D3 последовательно передают версии и результаты; A4 выдаёт O1–O4. Контрольные документы, созданные в A2/A3, проходят в составе D2/D3 и включаются A4 в итоговый комплект O4. D4 возвращает замечания к проверке данных; при изменении источников запускается A1.</w:t>
      </w:r>
    </w:p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9 Новые документы и бизнес-правила</w:t>
      </w:r>
    </w:p>
    <w:p>
      <w:pPr>
        <w:pStyle w:val="Основнойтекстотчёта"/>
      </w:pPr>
      <w:r>
        <w:t>В таблице 4 приведены новые документы O4. Они дополняют девять ожидаемых результатных потоков, определённых в практике 1, и позволяют перейти от поиска ошибок к контролю условий выполнения операции.</w:t>
      </w:r>
    </w:p>
    <w:p>
      <w:pPr>
        <w:pStyle w:val="Подписьтаблицы"/>
      </w:pPr>
      <w:r>
        <w:t>Таблица 4 – Документы автоматизированного контроля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5783"/>
        <w:gridCol w:w="2778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578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Содержание</w:t>
            </w:r>
          </w:p>
        </w:tc>
        <w:tc>
          <w:tcPr>
            <w:tcW w:type="dxa" w:w="277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Кто использует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N01</w:t>
            </w:r>
          </w:p>
        </w:tc>
        <w:tc>
          <w:tcPr>
            <w:tcW w:type="dxa" w:w="578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совместимости: версия BOM, правило, результат, критичность</w:t>
            </w:r>
          </w:p>
        </w:tc>
        <w:tc>
          <w:tcPr>
            <w:tcW w:type="dxa" w:w="277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 при согласовании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N02</w:t>
            </w:r>
          </w:p>
        </w:tc>
        <w:tc>
          <w:tcPr>
            <w:tcW w:type="dxa" w:w="578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Перечень зависимых BOM и карточек при замене компонента</w:t>
            </w:r>
          </w:p>
        </w:tc>
        <w:tc>
          <w:tcPr>
            <w:tcW w:type="dxa" w:w="277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 и менеджер при актуализации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N03</w:t>
            </w:r>
          </w:p>
        </w:tc>
        <w:tc>
          <w:tcPr>
            <w:tcW w:type="dxa" w:w="578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Ведомость расчёта: исходные цены, формула, цена, масса и версия</w:t>
            </w:r>
          </w:p>
        </w:tc>
        <w:tc>
          <w:tcPr>
            <w:tcW w:type="dxa" w:w="277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при утверждении цены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N04</w:t>
            </w:r>
          </w:p>
        </w:tc>
        <w:tc>
          <w:tcPr>
            <w:tcW w:type="dxa" w:w="578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Список отсутствующих или устаревших изображений по версиям</w:t>
            </w:r>
          </w:p>
        </w:tc>
        <w:tc>
          <w:tcPr>
            <w:tcW w:type="dxa" w:w="277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Дизайнер при планировании работ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N05</w:t>
            </w:r>
          </w:p>
        </w:tc>
        <w:tc>
          <w:tcPr>
            <w:tcW w:type="dxa" w:w="578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Журнал: автор, версия, согласование, пакет, попытка, ответ и время</w:t>
            </w:r>
          </w:p>
        </w:tc>
        <w:tc>
          <w:tcPr>
            <w:tcW w:type="dxa" w:w="277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и ИТ при разборе ошибок</w:t>
            </w:r>
          </w:p>
        </w:tc>
      </w:tr>
    </w:tbl>
    <w:p>
      <w:pPr>
        <w:pStyle w:val="Основнойтекстотчёта"/>
      </w:pPr>
      <w:r>
        <w:t>Правило 1: версия BOM с критическим нарушением совместимости не допускается к утверждению. Правило 2: неизвестная цена, неоднозначный код или отрицательный доступный остаток создают задачу на уточнение, а не заменяются значением по умолчанию.</w:t>
      </w:r>
    </w:p>
    <w:p>
      <w:pPr>
        <w:pStyle w:val="Основнойтекстотчёта"/>
      </w:pPr>
      <w:r>
        <w:t>Правило 3: снимки цен и остатков перед отправкой должны быть не старше 24 часов — проектный норматив. Правило 4: замена компонента аннулирует согласование зависимой карточки до повторной проверки состава, расчёта и изображений.</w:t>
      </w:r>
    </w:p>
    <w:p>
      <w:pPr>
        <w:pStyle w:val="Основнойтекстотчёта"/>
      </w:pPr>
      <w:r>
        <w:t>Правило 5: отправляется только утверждённый пакет неизменяемой версии. При отсутствии итогового ответа система проверяет состояние исходной попытки; новый повтор разрешается после определения её результата. Все действия связываются с одной карточкой, чтобы не создавать неуправляемые дубли.</w:t>
      </w:r>
    </w:p>
    <w:p>
      <w:pPr>
        <w:pStyle w:val="1"/>
        <w:pageBreakBefore/>
      </w:pPr>
      <w:r>
        <w:t>10 Сценарии выполнения и отчётность</w:t>
      </w:r>
    </w:p>
    <w:p>
      <w:pPr>
        <w:pStyle w:val="Heading2"/>
      </w:pPr>
      <w:r>
        <w:t>10.1 Подготовка и публикация</w:t>
      </w:r>
    </w:p>
    <w:p>
      <w:pPr>
        <w:pStyle w:val="Основнойтекстотчёта"/>
      </w:pPr>
      <w:r>
        <w:t>Менеджер создаёт заявку, система загружает источники и формирует исходную версию. Производство получает протокол и утверждает состав после устранения замечаний. Система рассчитывает параметры, формирует текст и запрашивает недостающие изображения. Менеджер проверяет готовую карточку и разрешает отправку. Система сохраняет пакет и результат обработки; итоговый успех отражается в реестре.</w:t>
      </w:r>
    </w:p>
    <w:p>
      <w:pPr>
        <w:pStyle w:val="Heading2"/>
      </w:pPr>
      <w:r>
        <w:t>10.2 Замена компонента и исключения</w:t>
      </w:r>
    </w:p>
    <w:p>
      <w:pPr>
        <w:pStyle w:val="Основнойтекстотчёта"/>
      </w:pPr>
      <w:r>
        <w:t>Для контрольного примера компонент используется в трёх BOM и пяти карточках. N02 должен содержать ровно эти объекты без посторонних зависимостей. До согласования замены старые версии сохраняются; после согласования формируются новые расчёты и задания на изображения. Каждая из пяти карточек должна получить новый статус либо документированное исключение.</w:t>
      </w:r>
    </w:p>
    <w:p>
      <w:pPr>
        <w:pStyle w:val="Основнойтекстотчёта"/>
      </w:pPr>
      <w:r>
        <w:t>При отклонении карточки система сохраняет причину и направляет задачу ответственной роли: технический состав — производству, атрибуты и цена — менеджеру, изображения — дизайнеру, ошибка обмена — ИТ. Повторное согласование применяется к изменённой версии. При недоступности внешней системы пакет остаётся в очереди и не считается опубликованным.</w:t>
      </w:r>
    </w:p>
    <w:p>
      <w:pPr>
        <w:pStyle w:val="Heading2"/>
      </w:pPr>
      <w:r>
        <w:t>10.3 Управленческие результаты</w:t>
      </w:r>
    </w:p>
    <w:p>
      <w:pPr>
        <w:pStyle w:val="Основнойтекстотчёта"/>
      </w:pPr>
      <w:r>
        <w:t>Менеджер использует реестр статусов, отчёт об актуальности, расчётную ведомость и журнал изменений. Производство получает протокол совместимости и список зависимостей; дизайнер — задачи по изображениям; ведущий разработчик — отчёт об ошибках и повторных отправках. Директор получает сводку сроков, ошибок и актуальности. Таким образом, сохраняются все девять ожидаемых выходных результатов первой практики.</w:t>
      </w:r>
    </w:p>
    <w:p>
      <w:pPr>
        <w:spacing w:before="0" w:after="0" w:line="240" w:lineRule="auto"/>
        <w:sectPr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11 Показатели и ожидаемый эффект</w:t>
      </w:r>
    </w:p>
    <w:p>
      <w:pPr>
        <w:pStyle w:val="Основнойтекстотчёта"/>
      </w:pPr>
      <w:r>
        <w:t>В таблице 5 сопоставлены расчётный исходный сценарий и проектные цели. Значения «как есть» для времени и процента публикаций являются гипотезами планирования; фактическая база измеряется до пилота на сопоставимых операциях.</w:t>
      </w:r>
    </w:p>
    <w:p>
      <w:pPr>
        <w:pStyle w:val="Подписьтаблицы"/>
      </w:pPr>
      <w:r>
        <w:t>Таблица 5 – Показатели изменения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551"/>
        <w:gridCol w:w="1531"/>
        <w:gridCol w:w="6690"/>
      </w:tblGrid>
      <w:tr>
        <w:trPr>
          <w:cantSplit/>
          <w:tblHeader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55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Исходный сценарий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Цель</w:t>
            </w:r>
          </w:p>
        </w:tc>
        <w:tc>
          <w:tcPr>
            <w:tcW w:type="dxa" w:w="669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Расчёт и источник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Активное время на карточку</w:t>
            </w:r>
          </w:p>
        </w:tc>
        <w:tc>
          <w:tcPr>
            <w:tcW w:type="dxa" w:w="255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 мин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≤ 30 мин</w:t>
            </w:r>
          </w:p>
        </w:tc>
        <w:tc>
          <w:tcPr>
            <w:tcW w:type="dxa" w:w="669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Σ активного времени / число операций; журнал хронометража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Успех первой отправки</w:t>
            </w:r>
          </w:p>
        </w:tc>
        <w:tc>
          <w:tcPr>
            <w:tcW w:type="dxa" w:w="255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80%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≥ 95%</w:t>
            </w:r>
          </w:p>
        </w:tc>
        <w:tc>
          <w:tcPr>
            <w:tcW w:type="dxa" w:w="669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Успешные первые отправки / завершённые первые отправки × 100%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 не старше 24 ч</w:t>
            </w:r>
          </w:p>
        </w:tc>
        <w:tc>
          <w:tcPr>
            <w:tcW w:type="dxa" w:w="255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Определяется измерением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≥ 98%</w:t>
            </w:r>
          </w:p>
        </w:tc>
        <w:tc>
          <w:tcPr>
            <w:tcW w:type="dxa" w:w="669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Отправки с актуальными ценами и остатками / все отправки × 100%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Прослеживаемость публикаций</w:t>
            </w:r>
          </w:p>
        </w:tc>
        <w:tc>
          <w:tcPr>
            <w:tcW w:type="dxa" w:w="255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Разрозненные документы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669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Попытки с версией, автором и ответом / все завершённые попытки × 100%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Пропуск критического нарушения</w:t>
            </w:r>
          </w:p>
        </w:tc>
        <w:tc>
          <w:tcPr>
            <w:tcW w:type="dxa" w:w="255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Проверяется контрольным набором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69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Число ошибочных BOM, прошедших контроль; протокол испытаний</w:t>
            </w:r>
          </w:p>
        </w:tc>
      </w:tr>
    </w:tbl>
    <w:p>
      <w:pPr>
        <w:pStyle w:val="Основнойтекстотчёта"/>
      </w:pPr>
      <w:r>
        <w:t>При 100 операциях в месяц трудоёмкость сценария уменьшается со 100 до 50 часов: 100 × (60 − 30) / 60 = 50 ч/мес. Высвобождается 50% активного времени подготовки. Это доступная ёмкость для других задач, а не гарантированное сокращение расходов или штата.</w:t>
      </w:r>
    </w:p>
    <w:p>
      <w:pPr>
        <w:pStyle w:val="Основнойтекстотчёта"/>
      </w:pPr>
      <w:r>
        <w:t>При условной оценке часа 700 руб. эквивалент высвобождённого времени составляет 35 000 руб./мес. Простое отношение затрат плана 592 000 руб. к этому эффекту равно 16,9 месяца; эксплуатационные затраты и потери продаж в расчёт не включены, поэтому результат служит только ориентиром сценария.</w:t>
      </w:r>
    </w:p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12 ИТ-инфраструктура и внедрение</w:t>
      </w:r>
    </w:p>
    <w:p>
      <w:pPr>
        <w:pStyle w:val="Heading2"/>
      </w:pPr>
      <w:r>
        <w:t>12.1 Средства поддержки процесса</w:t>
      </w:r>
    </w:p>
    <w:p>
      <w:pPr>
        <w:pStyle w:val="Основнойтекстотчёта"/>
      </w:pPr>
      <w:r>
        <w:t>Целевая ИС должна поддерживать общую БД компонентов, предложений, BOM и карточек; хранилище изображений; проверку правил; очередь публикаций; аудит и отчёты. Конкретный программный продукт выбирается после сравнения его возможностей с этими требованиями; одной замены текстового редактора недостаточно.</w:t>
      </w:r>
    </w:p>
    <w:p>
      <w:pPr>
        <w:pStyle w:val="Основнойтекстотчёта"/>
      </w:pPr>
      <w:r>
        <w:t>Требуются серверная среда, резервное копирование, рабочие места с доступом к ИС и устойчивый канал обмена. Для пилота достаточно отдельной среды с ограниченной группой пользователей и тестовым набором данных. Возможность использования имеющихся ресурсов определяется обследованием; закупка оборудования заранее не предполагается.</w:t>
      </w:r>
    </w:p>
    <w:p>
      <w:pPr>
        <w:pStyle w:val="Основнойтекстотчёта"/>
      </w:pPr>
      <w:r>
        <w:t>Существующие складские данные используются через согласованный формат обмена. Загружаются только необходимые атрибуты; исходная система остаётся источником остатков. Разработка адаптеров должна учитывать доступность внешнего сервиса и фактические форматы. Проверка восстановления резервной копии входит в передачу системы в сопровождение.</w:t>
      </w:r>
    </w:p>
    <w:p>
      <w:pPr>
        <w:pStyle w:val="Heading2"/>
      </w:pPr>
      <w:r>
        <w:t>12.2 Порядок перехода</w:t>
      </w:r>
    </w:p>
    <w:p>
      <w:pPr>
        <w:pStyle w:val="Основнойтекстотчёта"/>
      </w:pPr>
      <w:r>
        <w:t>Внедрение выполняется по плану практики 3: требования и проектирование, реализация, испытания, обучение и пилот, приёмка. В пилоте используется выделенный набор карточек, а способ публикации каждой карточки назначается явно. Перед переключением сохраняются версии, исходные данные и инструкция возврата к прежней работе.</w:t>
      </w:r>
    </w:p>
    <w:p>
      <w:pPr>
        <w:pStyle w:val="Основнойтекстотчёта"/>
      </w:pPr>
      <w:r>
        <w:t>Менеджер работает с очередью исключений, производство ведёт правила, дизайнер связывает изображения с версиями, ИТ сопровождает обмен. Поставщик ПО может помочь с настройкой и обучением; приёмку выполняет заказчик.</w:t>
      </w:r>
    </w:p>
    <w:p>
      <w:pPr>
        <w:pStyle w:val="1"/>
        <w:pageBreakBefore/>
      </w:pPr>
      <w:r>
        <w:t>13 Выводы</w:t>
      </w:r>
    </w:p>
    <w:p>
      <w:pPr>
        <w:pStyle w:val="Основнойтекстотчёта"/>
      </w:pPr>
      <w:r>
        <w:t>Разработана модель новой технологии с четырьмя подпроцессами, общими данными, автоматическими проверками, управляемыми версиями и фиксацией публикаций. По сравнению с моделью «как есть» устранены основные причины повторного ввода, несогласованных замен и потери истории; согласование состава и коммерческого предложения закреплено за сотрудниками.</w:t>
      </w:r>
    </w:p>
    <w:p>
      <w:pPr>
        <w:pStyle w:val="Основнойтекстотчёта"/>
      </w:pPr>
      <w:r>
        <w:t>Для перехода требуются единая ИС и адаптеры обмена, подготовка справочников, обучение и отдельный пилот. Этапный подход позволяет проверить новую технологию в пределах 12-недельного плана и оценки 592 тыс. руб. Прямой выбор продукта и пригодность имеющейся инфраструктуры определяются после уточнения требований, а ожидаемый эффект проверяется по журналам и контрольным сценариям.</w:t>
      </w:r>
    </w:p>
    <w:p>
      <w:pPr>
        <w:pStyle w:val="Основнойтекстотчёта"/>
      </w:pPr>
      <w:r>
        <w:t>Целевые показатели согласованы с практикой 3: до 30 минут активного времени на операцию, не менее 95% успеха первой отправки, не менее 98% актуальных источников и полная прослеживаемость. Расчётный сценарий показывает высвобождение 50 часов в месяц при 100 операциях; внедрение и достижение этих значений в рамках данной работы не утверждаются.</w:t>
      </w:r>
    </w:p>
    <w:p>
      <w:pPr>
        <w:pStyle w:val="Heading2"/>
      </w:pPr>
      <w:r>
        <w:t>Источники</w:t>
      </w:r>
    </w:p>
    <w:p>
      <w:pPr>
        <w:pStyle w:val="Основнойтекстотчёта"/>
      </w:pPr>
      <w:r>
        <w:t>1. Информационный менеджмент. Методические указания к практике. Практическая работа 5. С. 28–32.</w:t>
      </w:r>
    </w:p>
    <w:p>
      <w:pPr>
        <w:pStyle w:val="Основнойтекстотчёта"/>
      </w:pPr>
      <w:r>
        <w:t>2. Албахтин И.В. Информационный менеджмент. Практическая работа 1. Экспресс-обследование ООО «Юкомс». Москва, 2026.</w:t>
      </w:r>
    </w:p>
    <w:p>
      <w:pPr>
        <w:pStyle w:val="Основнойтекстотчёта"/>
      </w:pPr>
      <w:r>
        <w:t>3. Албахтин И.В. Информационный менеджмент. Практическая работа 3. План автоматизации и структура работ. Москва, 2026.</w:t>
      </w:r>
    </w:p>
    <w:p>
      <w:pPr>
        <w:pStyle w:val="Основнойтекстотчёта"/>
      </w:pPr>
      <w:r>
        <w:t>4. Албахтин И.В. Информационный менеджмент. Практическая работа 4. Модель бизнес-процесса «как есть». Москва, 2026.</w:t>
      </w:r>
    </w:p>
    <w:sectPr w:rsidR="004651E5" w:rsidRPr="002A2FAC" w:rsidSect="002A2FAC"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4"/>
      </w:rPr>
    </w: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Тексттаблицы">
    <w:name w:val="Текст таблицы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Подписьтаблицы">
    <w:name w:val="Подпись таблицы"/>
    <w:pPr>
      <w:keepNext/>
      <w:keepLines/>
      <w:widowControl/>
      <w:spacing w:line="240" w:lineRule="auto" w:before="120" w:after="60"/>
      <w:ind w:firstLine="0" w:left="0" w:right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Подписьрисунка">
    <w:name w:val="Подпись рисунка"/>
    <w:pPr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  <w:outlineLvl w:val="1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Информационный менеджмент. Практическая работа 5. Моделирование бизнес-процесса «как должно быть»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