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iCs/>
                <w:noProof/>
                <w:color w:val="000000"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ascii="Times New Roman" w:hAnsi="Times New Roman" w:cs="Times New Roman"/>
                <w:b w:val="0"/>
                <w:i w:val="0"/>
                <w:caps/>
                <w:color w:val="000000"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color w:val="000000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color w:val="000000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color w:val="000000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i w:val="0"/>
                <w:snapToGrid w:val="0"/>
                <w:color w:val="00000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i w:val="0"/>
                <w:snapToGrid w:val="0"/>
                <w:color w:val="00000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i w:val="0"/>
                <w:snapToGrid w:val="0"/>
                <w:color w:val="00000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cs="Times New Roman" w:ascii="Times New Roman" w:hAnsi="Times New Roman"/>
                <w:b/>
                <w:i w:val="0"/>
                <w:snapToGrid w:val="0"/>
                <w:color w:val="00000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Times New Roman" w:ascii="Times New Roman" w:hAnsi="Times New Roman" w:cs="Times New Roman"/>
                <w:b/>
                <w:i w:val="0"/>
                <w:color w:val="000000"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Times New Roman" w:ascii="Times New Roman" w:hAnsi="Times New Roman" w:cs="Times New Roman"/>
                <w:b/>
                <w:i w:val="0"/>
                <w:iCs/>
                <w:noProof/>
                <w:color w:val="000000"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i w:val="0"/>
          <w:color w:val="000000"/>
          <w:sz w:val="28"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keepNext w:val="0"/>
        <w:widowControl/>
        <w:suppressAutoHyphens/>
        <w:spacing w:line="240" w:lineRule="auto" w:before="0" w:after="60"/>
        <w:ind w:left="0" w:firstLine="0" w:right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Кафедра прикладной математики</w:t>
      </w:r>
    </w:p>
    <w:p w14:paraId="5BFED86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keepNext w:val="0"/>
        <w:widowControl/>
        <w:suppressAutoHyphens/>
        <w:spacing w:line="240" w:lineRule="auto" w:before="0" w:after="60"/>
        <w:ind w:left="0" w:firstLine="0" w:right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ОТЧЕТ ПО ПРАКТИЧЕСКОЙ РАБОТЕ</w:t>
      </w:r>
    </w:p>
    <w:p w14:paraId="3EDE2537" w14:textId="77777777" w:rsidR="002A2FAC" w:rsidRPr="00867FE9" w:rsidRDefault="002A2FAC" w:rsidP="002A2FAC">
      <w:pPr>
        <w:keepNext w:val="0"/>
        <w:widowControl/>
        <w:suppressAutoHyphens/>
        <w:spacing w:line="240" w:lineRule="auto" w:before="0" w:after="60"/>
        <w:ind w:left="0" w:firstLine="0" w:right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 дисциплине «Технологии и инструментарий анализа больших данных»</w:t>
      </w:r>
    </w:p>
    <w:p w14:paraId="6B467C3B" w14:textId="77777777" w:rsidR="002A2FAC" w:rsidRPr="00867FE9" w:rsidRDefault="002A2FAC" w:rsidP="002A2FAC">
      <w:pPr>
        <w:keepNext w:val="0"/>
        <w:widowControl/>
        <w:suppressAutoHyphens/>
        <w:spacing w:line="240" w:lineRule="auto" w:before="0" w:after="60"/>
        <w:ind w:left="0" w:firstLine="0" w:right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№3</w:t>
        <w:br/>
        <w:t>Распределенная модель обработки данных</w:t>
      </w:r>
    </w:p>
    <w:p w14:paraId="0A18C7B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Студент группы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ИНБО-12-23, Албахтин И.В.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color w:val="000000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color w:val="000000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Воронцов Ю.А.</w:t>
            </w: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b w:val="0"/>
                <w:i w:val="0"/>
                <w:color w:val="000000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headerReference w:type="default" r:id="rId28"/>
          <w:headerReference w:type="first" r:id="rId29"/>
          <w:footerReference w:type="default" r:id="rId30"/>
          <w:footerReference w:type="first" r:id="rId31"/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8"/>
          <w:lang w:eastAsia="zh-CN" w:bidi="hi-IN"/>
          <w14:ligatures w14:val="none"/>
        </w:rPr>
        <w:t>Москва 2026 г.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 Цель и постановка задачи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Цель работы — выполнить распределённую табличную обработку в PySpark: подготовить источник SQLite, задать схемы, исследовать пропуски, построить агрегаты и JOIN, сопоставить Spark SQL с DataFrame API и проверить экспорт. Учебная часть выполнена на Olist, самостоятельная — на продажах КОМУС.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Итогом стали аналитическая витрина Olist из 74 категорий и витрина КОМУС по товарным группам. Результаты получены полным последовательным запуском notebook в новом ядре; исходные таблицы не изменялись.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 Окружение и источники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1.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1 – Паспорт стенда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236"/>
      </w:tblGrid>
      <w:tr>
        <w:trPr>
          <w:cantSplit/>
          <w:tblHeader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Фактическое значение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Среда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VirtualBox, Ubuntu 22.04.5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Ресурсы VM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 vCPU, 4 ГБ ОЗУ, диск 40 ГБ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Процессор хоста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AMD Ryzen 7 9700X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Python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3.10.12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Java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openjdk version "17.0.20.1" 2026-08-18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Spark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3.5.7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Master и parallelism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local[*], 2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Shuffle partitions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AQE</w:t>
            </w:r>
          </w:p>
        </w:tc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true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Python 3.10.12 используется из изолированного окружения Ubuntu. Методичка рекомендует Python 3.11, но выбранная версия совместима с Spark 3.5.7 и JDK 17. Local[*] использует два доступных виртуальных ядра и не является физическим кластером.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Ecommerce.sqlite восстановлена из CSV Olist, использованных во второй практике, поскольку исходный файл SQLite не был передан. Восстановление и staging выполняются отдельным скриптом. Фактическая версия содержит 100 000 отзывов, тогда как в примере методички указано 97 621; эта разница не скрывается и не исправляется под ожидаемые числа. Справочник категорий восстановлен до исходных 71 записей.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2.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2 – Выгруженные учебные таблицы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  <w:gridCol w:w="3118"/>
      </w:tblGrid>
      <w:tr>
        <w:trPr>
          <w:cantSplit/>
          <w:tblHeader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Таблица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Число строк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orders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99 441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order_items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112 650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products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32 951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customers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99 441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order_payments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103 886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order_reviews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100 000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product_category_name_translation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71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Spark не читает SQLite как штатный файловый формат. Модуль sqlite3 и Pandas выгружают таблицы частями по 50 000 строк; последующая обработка производится в Spark. Данные КОМУС получены из предоставленного архива «Транзакции КОМУС.zip». Клиентские реквизиты, адреса и номера машин исключены ещё при подготовке входа. Архивы transactions и northwind_small не использовались: выбранный набор КОМУС удовлетворяет требованиям самостоятельной части.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 Схемы и преобразования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Orders при чтении CSV имеет строковые столбцы. Для order_items задан StructType: order_item_id — integer, price и freight_value — double, идентификаторы — string. Автоматический вывод схемы дополнительно определяет shipping_limit_date как timestamp, поэтому схемы не обязаны полностью совпадать. Пять временных полей orders преобразованы функцией to_timestamp.</w:t>
      </w:r>
    </w:p>
    <w:p>
      <w:pPr>
        <w:pStyle w:val="ReportCode"/>
        <w:keepNext w:val="0"/>
        <w:widowControl/>
        <w:spacing w:line="240" w:lineRule="auto" w:before="80" w:after="120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items_schema = StructType([</w:t>
        <w:br/>
        <w:t xml:space="preserve">    StructField("order_id", StringType(), True),</w:t>
        <w:br/>
        <w:t xml:space="preserve">    StructField("order_item_id", IntegerType(), True),</w:t>
        <w:br/>
        <w:t xml:space="preserve">    StructField("product_id", StringType(), True),</w:t>
        <w:br/>
        <w:t xml:space="preserve">    StructField("seller_id", StringType(), True),</w:t>
        <w:br/>
        <w:t xml:space="preserve">    StructField("shipping_limit_date", StringType(), True),</w:t>
        <w:br/>
        <w:t xml:space="preserve">    StructField("price", DoubleType(), True),</w:t>
        <w:br/>
        <w:t xml:space="preserve">    StructField("freight_value", DoubleType(), True)</w:t>
        <w:br/>
        <w:t>])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Применены select, filter, withColumn, drop, dropDuplicates и orderBy. Для позиций price ≥ 500 вычислена цена с доставкой gross_item_value; условию удовлетворяют 3 239 строк. Это стоимость позиции, а не всего заказа.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3.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3 – Самые дорогие позиции с доставкой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2551"/>
        <w:gridCol w:w="2551"/>
      </w:tblGrid>
      <w:tr>
        <w:trPr>
          <w:cantSplit/>
          <w:tblHeader/>
        </w:trPr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Позиция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Цена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Доставка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Итого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6 735,00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194,31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6 929,31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6 729,00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193,21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6 922,21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6 499,00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227,66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6 726,66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4 799,00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151,34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4 950,34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4 690,00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74,34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4 764,34</w:t>
            </w:r>
          </w:p>
        </w:tc>
      </w:tr>
    </w:tbl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 Пропуски и предметная интерпретация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4.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4 – Пропуски временных полей orders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2551"/>
      </w:tblGrid>
      <w:tr>
        <w:trPr>
          <w:cantSplit/>
          <w:tblHeader/>
        </w:trPr>
        <w:tc>
          <w:tcPr>
            <w:tcW w:type="dxa" w:w="6803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Поле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Null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order_purchase_timestamp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order_approved_at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160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order_delivered_carrier_date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1783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order_delivered_customer_date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2965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order_estimated_delivery_date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Фактическая дата доставки отсутствует в 2 965 заказах. По статусам это 1 107 shipped, 619 canceled, 609 unavailable, 314 invoiced, 301 processing, 8 delivered, 5 created и 2 approved. Дата не заполнена вымышленным значением и не служит причиной удаления незавершённых заказов.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Из 96 478 заказов delivered дата известна у 96 470. Просрочено 7 826 заказов, или 8,11% известной выборки. В products у 610 товаров отсутствует категория; она обозначена unknown, чтобы сохранить позиции при соединении.</w:t>
      </w:r>
    </w:p>
    <w:p>
      <w:pPr>
        <w:pStyle w:val="ReportBody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1 показан результат выполнения на стенде.</w:t>
      </w:r>
    </w:p>
    <w:p>
      <w:pPr>
        <w:keepNext/>
        <w:widowControl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298370852" name="Picture 298370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qualit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Caption"/>
        <w:keepNext w:val="0"/>
        <w:keepLines/>
        <w:widowControl/>
        <w:spacing w:line="240" w:lineRule="auto" w:before="60" w:after="120"/>
        <w:ind w:firstLine="0" w:left="0" w:right="0"/>
        <w:jc w:val="center"/>
      </w:pPr>
      <w:r>
        <w:t>Рисунок 1 – Проверка пропусков и сохранения строк в консоли Ubuntu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 Агрегации и соединения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5.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5 – Статусы заказов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252"/>
      </w:tblGrid>
      <w:tr>
        <w:trPr>
          <w:cantSplit/>
          <w:tblHeader/>
        </w:trPr>
        <w:tc>
          <w:tcPr>
            <w:tcW w:type="dxa" w:w="51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Статус</w:t>
            </w:r>
          </w:p>
        </w:tc>
        <w:tc>
          <w:tcPr>
            <w:tcW w:type="dxa" w:w="425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Заказы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delivered</w:t>
            </w:r>
          </w:p>
        </w:tc>
        <w:tc>
          <w:tcPr>
            <w:tcW w:type="dxa" w:w="425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96 478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shipped</w:t>
            </w:r>
          </w:p>
        </w:tc>
        <w:tc>
          <w:tcPr>
            <w:tcW w:type="dxa" w:w="425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1 107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canceled</w:t>
            </w:r>
          </w:p>
        </w:tc>
        <w:tc>
          <w:tcPr>
            <w:tcW w:type="dxa" w:w="425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625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unavailable</w:t>
            </w:r>
          </w:p>
        </w:tc>
        <w:tc>
          <w:tcPr>
            <w:tcW w:type="dxa" w:w="425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609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invoiced</w:t>
            </w:r>
          </w:p>
        </w:tc>
        <w:tc>
          <w:tcPr>
            <w:tcW w:type="dxa" w:w="425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314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processing</w:t>
            </w:r>
          </w:p>
        </w:tc>
        <w:tc>
          <w:tcPr>
            <w:tcW w:type="dxa" w:w="425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301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created</w:t>
            </w:r>
          </w:p>
        </w:tc>
        <w:tc>
          <w:tcPr>
            <w:tcW w:type="dxa" w:w="425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approved</w:t>
            </w:r>
          </w:p>
        </w:tc>
        <w:tc>
          <w:tcPr>
            <w:tcW w:type="dxa" w:w="425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6.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6 – Агрегаты платёжных строк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2835"/>
        <w:gridCol w:w="1984"/>
      </w:tblGrid>
      <w:tr>
        <w:trPr>
          <w:cantSplit/>
          <w:tblHeader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Способ оплаты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Строки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Сумма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Среднее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credit_card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76 795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12 542 084,19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163,32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boleto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19 784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2 869 361,27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145,03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voucher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5 775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379 436,87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65,70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debit_card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1 529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217 989,79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142,57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not_defined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8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984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0,00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Платежи credit_card преобладают по числу строк и сумме. COUNT(*) в order_payments нельзя интерпретировать как число заказов: один заказ может иметь несколько платежей.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LEFT JOIN order_items → products → translations сохранил 112 650 из 112 650 позиций; 1 603 позиций имеют unknown. Категория выбирается через coalesce: английский перевод, исходное название, затем unknown.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7.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7 – Пять штатов с высокой долей просрочки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2551"/>
        <w:gridCol w:w="2551"/>
      </w:tblGrid>
      <w:tr>
        <w:trPr>
          <w:cantSplit/>
          <w:tblHeader/>
        </w:trPr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Штат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Доставлено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Просрочено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Доля 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AL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397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95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23,93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MA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717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141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19,67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PI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476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76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15,97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CE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1279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196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15,32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335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51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15,22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AL имеет 23,93% просрочки при 397 известных доставках. Доля сравнивается вместе с размером группы; сама таблица не доказывает причинное влияние штата на доставку.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 Spark SQL и сохранение витрины</w:t>
      </w:r>
    </w:p>
    <w:p>
      <w:pPr>
        <w:pStyle w:val="ReportCode"/>
        <w:keepNext w:val="0"/>
        <w:widowControl/>
        <w:spacing w:line="240" w:lineRule="auto" w:before="80" w:after="120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sales.createOrReplaceTempView("sales")</w:t>
        <w:br/>
        <w:t>SELECT category, COUNT(*) AS items,</w:t>
        <w:br/>
        <w:t xml:space="preserve">       COUNT(DISTINCT order_id) AS orders,</w:t>
        <w:br/>
        <w:t xml:space="preserve">       ROUND(SUM(price), 2) AS revenue,</w:t>
        <w:br/>
        <w:t xml:space="preserve">       ROUND(AVG(price), 2) AS avg_price</w:t>
        <w:br/>
        <w:t>FROM sales</w:t>
        <w:br/>
        <w:t>GROUP BY category</w:t>
        <w:br/>
        <w:t>ORDER BY revenue DESC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8.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8 – Топ категорий Olist по сумме price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1417"/>
        <w:gridCol w:w="2551"/>
        <w:gridCol w:w="1701"/>
      </w:tblGrid>
      <w:tr>
        <w:trPr>
          <w:cantSplit/>
          <w:tblHeader/>
        </w:trPr>
        <w:tc>
          <w:tcPr>
            <w:tcW w:type="dxa" w:w="368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Категория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Позиции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Сумма price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Средняя цена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health_beauty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9 670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1 258 681,34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130,16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watches_gifts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5 991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1 205 005,68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201,14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bed_bath_table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11 115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1 036 988,68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93,30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sports_leisure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8 641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988 048,97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114,34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computers_accessories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7 827</w:t>
            </w:r>
          </w:p>
        </w:tc>
        <w:tc>
          <w:tcPr>
            <w:tcW w:type="dxa" w:w="255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911 954,32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116,51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Двусторонний exceptAll между полными результатами SQL и DataFrame API дал 0 различий. Витрина содержит 74 группы и записана в Parquet и CSV; для маленького CSV использован coalesce(1). После чтения Parquet совпали число строк, имена и типы полей. Признак nullable стал true для ранее гарантированно заполненных агрегатов, поэтому полное равенство StructType отдельно отмечено как false.</w:t>
      </w:r>
    </w:p>
    <w:p>
      <w:pPr>
        <w:pStyle w:val="ReportBody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2 показан результат выполнения на стенде.</w:t>
      </w:r>
    </w:p>
    <w:p>
      <w:pPr>
        <w:keepNext/>
        <w:widowControl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298370853" name="Picture 298370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li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Caption"/>
        <w:keepNext w:val="0"/>
        <w:keepLines/>
        <w:widowControl/>
        <w:spacing w:line="240" w:lineRule="auto" w:before="60" w:after="120"/>
        <w:ind w:firstLine="0" w:left="0" w:right="0"/>
        <w:jc w:val="center"/>
      </w:pPr>
      <w:r>
        <w:t>Рисунок 2 – Вычисленные категории Olist и проверки экспорта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 Самостоятельный анализ продаж КОМУС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Основная таблица содержит 865 222 строк и восемь полей: себестоимость, дата, чек, товарный ключ, филиал, количество, сумма покупки и скидка. Справочник содержит 21 163 уникальных ключей товара и признаки бренда и группы. Названия и условия предоставлены в пользовательском архиве; публичная лицензия на исходные строки не заявлена, поэтому в Git сохраняются код, агрегаты и обезличенные результаты, а не исходные транзакции.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Явный StructType фиксирует строковую схему сырого входа. Дата преобразована из dd.MM.yyyy, десятичная запятая заменена точкой перед приведением четырёх числовых полей. Филиал очищен trim, вычислены месяц покупки и margin = amount − cost. Категориальные пропуски справочника маркируются unknown только в соответствующих полях.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9.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9 – Пропуски КОМУС после приведения типов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  <w:gridCol w:w="3118"/>
      </w:tblGrid>
      <w:tr>
        <w:trPr>
          <w:cantSplit/>
          <w:tblHeader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Поле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Null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receipt_id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3 934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purchase_date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amount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cost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86 431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product_key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У 3 934 строк отсутствует номер чека, но продажи сохранены: фиктивный чек не создаётся. У 86 431 строки отсутствует себестоимость; такие строки участвуют в выручке, но их маржа остаётся null. SUM(margin) описывает только строки с известной себестоимостью, а cost_known показывает охват. Фильтр валидной даты и суммы не удалил строки, поскольку оба поля полностью заполнены.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До JOIN: 865 222 строк; LEFT JOIN: 865 222; INNER JOIN: 865 222. Несопоставленных ключей — 0, конфликтующих ключей справочника — 0. Полный охват объясняет одинаковые размеры обоих соединений.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10.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10 – Товарные группы КОМУС с высокой выручкой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417"/>
        <w:gridCol w:w="2268"/>
        <w:gridCol w:w="2268"/>
      </w:tblGrid>
      <w:tr>
        <w:trPr>
          <w:cantSplit/>
          <w:tblHeader/>
        </w:trPr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Группа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Строки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Выручка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Известная маржа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ЗХК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77 998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11 013 671,73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4 970 760,76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Основы-холст на подрамнике-Базовый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6 703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4 407 000,88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2 022 021,65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Бумага-Картон-пенокартон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2 531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2 716 844,79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1 213 973,44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Faber-Castell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10 023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2 632 258,18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1 175 326,88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Подрамники, рамы-Планшеты</w:t>
            </w:r>
          </w:p>
        </w:tc>
        <w:tc>
          <w:tcPr>
            <w:tcW w:type="dxa" w:w="1417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3 850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2 550 475,59</w:t>
            </w:r>
          </w:p>
        </w:tc>
        <w:tc>
          <w:tcPr>
            <w:tcW w:type="dxa" w:w="226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1 170 236,14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приведены в таблице 11.</w:t>
      </w:r>
    </w:p>
    <w:p>
      <w:pPr>
        <w:pStyle w:val="ReportTableCaption"/>
        <w:keepNext/>
        <w:keepLines/>
        <w:widowControl/>
        <w:spacing w:line="240" w:lineRule="auto" w:before="120" w:after="60"/>
        <w:ind w:firstLine="0" w:left="0" w:right="0"/>
        <w:jc w:val="left"/>
      </w:pPr>
      <w:r>
        <w:t>Таблица 11 – Выручка по филиалам</w:t>
      </w:r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1701"/>
        <w:gridCol w:w="3118"/>
      </w:tblGrid>
      <w:tr>
        <w:trPr>
          <w:cantSplit/>
          <w:tblHeader/>
        </w:trPr>
        <w:tc>
          <w:tcPr>
            <w:tcW w:type="dxa" w:w="4535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Филиал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Строки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Выручка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ТЗ-2 ( Ленинградское шоссе)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431 372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58 750 803,24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ТЗ-1 ( ул.Фадеева)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238 046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44 343 168,32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ТЗ-3 (Курский)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190 730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26 249 055,61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Багетная мастерская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848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1 399 096,07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РС (Распределительный склад)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249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788 679,75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Кафе-1 ( ул.Фадеева)</w:t>
            </w:r>
          </w:p>
        </w:tc>
        <w:tc>
          <w:tcPr>
            <w:tcW w:type="dxa" w:w="1701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3 977</w:t>
            </w:r>
          </w:p>
        </w:tc>
        <w:tc>
          <w:tcPr>
            <w:tcW w:type="dxa" w:w="3118"/>
            <w:vAlign w:val="center"/>
            <w:shd w:val="nil"/>
          </w:tcPr>
          <w:p>
            <w:pPr>
              <w:pStyle w:val="ReportTable"/>
              <w:keepNext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207 762,35</w:t>
            </w:r>
          </w:p>
        </w:tc>
      </w:tr>
    </w:tbl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Выполнены группировки по товарной группе и филиалу. Первая включает count, sum, avg и счётчик известной себестоимости. Два SQL-запроса формируют рейтинг групп и динамику по месяцам; полный рейтинг SQL совпал с DataFrame API по двустороннему exceptAll.</w:t>
      </w:r>
    </w:p>
    <w:p>
      <w:pPr>
        <w:pStyle w:val="ReportCode"/>
        <w:keepNext w:val="0"/>
        <w:widowControl/>
        <w:spacing w:line="240" w:lineRule="auto" w:before="80" w:after="120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SELECT month, COUNT(*) AS lines,</w:t>
        <w:br/>
        <w:t xml:space="preserve">       ROUND(SUM(amount), 2) AS revenue,</w:t>
        <w:br/>
        <w:t xml:space="preserve">       ROUND(SUM(discount), 2) AS discount</w:t>
        <w:br/>
        <w:t>FROM komus_sales</w:t>
        <w:br/>
        <w:t>GROUP BY month</w:t>
        <w:br/>
        <w:t>ORDER BY month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Итоговая витрина содержит 2 864 товарных групп. Parquet и CSV сохранены в exports. Повторное чтение подтвердило количество строк и типы, изменение nullable зафиксировано отдельно. Расчётная маржа не является чистой прибылью: дополнительные расходы и налоги в источнике отсутствуют.</w:t>
      </w:r>
    </w:p>
    <w:p>
      <w:pPr>
        <w:pStyle w:val="ReportBody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3 показан результат выполнения на стенде.</w:t>
      </w:r>
    </w:p>
    <w:p>
      <w:pPr>
        <w:keepNext/>
        <w:widowControl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298370854" name="Picture 298370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komu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Caption"/>
        <w:keepNext w:val="0"/>
        <w:keepLines/>
        <w:widowControl/>
        <w:spacing w:line="240" w:lineRule="auto" w:before="60" w:after="120"/>
        <w:ind w:firstLine="0" w:left="0" w:right="0"/>
        <w:jc w:val="center"/>
      </w:pPr>
      <w:r>
        <w:t>Рисунок 3 – Реальные проверки данных КОМУС и обоих JOIN в Ubuntu</w:t>
      </w:r>
    </w:p>
    <w:p>
      <w:pPr>
        <w:pStyle w:val="ReportBody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рисунке 4 показан результат выполнения на стенде.</w:t>
      </w:r>
    </w:p>
    <w:p>
      <w:pPr>
        <w:keepNext/>
        <w:widowControl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297693"/>
            <wp:docPr id="298370855" name="Picture 298370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park_job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97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Caption"/>
        <w:keepNext w:val="0"/>
        <w:keepLines/>
        <w:widowControl/>
        <w:spacing w:line="240" w:lineRule="auto" w:before="60" w:after="120"/>
        <w:ind w:firstLine="0" w:left="0" w:right="0"/>
        <w:jc w:val="center"/>
      </w:pPr>
      <w:r>
        <w:t>Рисунок 4 – Spark UI фактически выполненного приложения третьей практики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8 Выводы и ограничения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Явная схема и преобразование timestamp сделали расчёты воспроизводимыми; автоматическая схема CSV не равна контракту данных.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Пропуски даты доставки связаны со статусом, поэтому массовое удаление незавершённых заказов исказило бы анализ.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LEFT JOIN Olist сохранил 112 650 позиций, включая 1 603 позиции неизвестной категории.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 Полные результаты Spark SQL и DataFrame API совпали; обе реализации используют один вычислительный движок.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 Все 865 222 продаж КОМУС сохранены, в том числе продажи без себестоимости; оценка маржи требует отдельного контроля охвата.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6. Справочник КОМУС покрывает все товарные ключи факта, поэтому INNER JOIN и LEFT JOIN дали одинаковое количество строк.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7. Parquet сохранил количество групп и типы полей, но nullable после чтения отличается от исходной схемы агрегатов.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Ограничения: локальная VM не проверяет работу физического кластера; восстановленная версия Olist отличается от SQLite примера по числу отзывов. Для КОМУС неизвестны полные условия формирования выборки, а неполная себестоимость ограничивает интерпретацию маржи. Выводы о сезонности и причинных связях по этим агрегатам не делаются.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Ответы на контрольные вопросы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 Чем local[*] отличается от физического Spark-кластера и какие элементы программной модели при этом сохраняются?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local[*] использует доступные логические ядра одного узла. В физическом кластере executors размещены на разных узлах; DataFrame, partitions, задачи и ленивое планирование сохраняются в обоих режимах.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 Каковы роли Driver и Executor в Spark-приложении?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Driver создаёт SparkContext, строит планы и планирует задачи. Executors выполняют задачи и хранят промежуточные данные; в local[*] вычислительная часть работает внутри локальной JVM.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 Что такое partition и почему число partitions влияет на производительность?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Partition — логическая часть данных, над которой выполняется задача стадии. Малое число разделов ограничивает параллелизм, большое увеличивает расходы на планирование коротких задач.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 В чём различие transformation и action? Приведите по три примера каждого типа.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Transformation строит план: select, filter, withColumn. Action требует результат: count, collect, запись через write. Одно действие может вызвать несколько внутренних Jobs.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 Что означает lazy evaluation и почему время выполнения withColumn() без action не отражает стоимость вычислений?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Lazy evaluation откладывает вычисления до action. Создание withColumn формирует выражение, поэтому его время без action не измеряет чтение, вычисление и обмен данными.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6. Почему CSV не содержит строгой аналитической схемы и в каких случаях явный StructType предпочтительнее inferSchema?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CSV хранит текст и разделители, но не строгую схему. StructType полезен при стабильном контракте входа и позволяет избежать отдельного прохода inferSchema; некорректные значения всё равно требуют контроля.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7. Почему строку ISO-даты следует преобразовать в timestamp, даже если лексикографическое сравнение иногда даёт правильный порядок?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Timestamp задаёт временную семантику для datediff, month и сравнения дат. Строковое сравнение зависит от одинакового формата и не проверяет корректность даты.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8. Почему наличие null не означает, что строку нужно удалить? Как это показал пример order_delivered_customer_date?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Null может обозначать незавершённую операцию. В Olist большинство отсутствующих дат доставки относится к shipped, canceled и промежуточным статусам; только восемь пропусков относятся к delivered.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9. Чем select() отличается от filter(), а withColumn() — от простого выбора столбца?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Select выбирает столбцы и выражения, filter выбирает строки. WithColumn добавляет либо заменяет именованный столбец, а выбор существующего столбца не создаёт нового признака.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10. Почему после JOIN необходимо сравнивать число строк до и после операции?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Рост количества строк может указывать на неуникальный справочник или связь многие-ко-многим. Уменьшение при INNER JOIN может означать потерю фактов без подходящего ключа справа.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11. В чём содержательное различие INNER JOIN и LEFT JOIN при построении фактовой аналитической витрины?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INNER JOIN сохраняет только совпавшие ключи. LEFT JOIN сохраняет все левые факты и делает отсутствие справочной записи измеримым через null; выбор определяется целью витрины.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12. Почему COUNT(*) и COUNT(DISTINCT order_id) дают разные бизнес-смыслы для order_items?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COUNT(*) считает позиции заказа, COUNT(DISTINCT order_id) — уникальные заказы. Несколько позиций одного заказа дают разный результат этих двух агрегатов.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13. Как связаны Spark SQL и DataFrame API? Являются ли они разными вычислительными движками?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Оба интерфейса используют Spark SQL и Catalyst. SQL задаёт декларативный текст запроса, DataFrame API строит эквивалентные выражения; это не два независимых движка.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14. Почему Spark записывает DataFrame в каталог с part-файлами, а не обязательно в один файл?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Каждая выходная задача записывает свой part-файл. Каталог соответствует распределённой записи и включает служебные файлы, например _SUCCESS.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15. Почему coalesce(1) допустим для маленькой 74-строчной витрины, но является плохой общей стратегией записи больших данных?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74 строк потеря параллелизма несущественна и один CSV удобен. Для большого факта coalesce(1) создаёт единственную задачу записи и узкое место.</w:t>
      </w:r>
    </w:p>
    <w:p>
      <w:pPr>
        <w:pStyle w:val="ReportBody"/>
        <w:keepNext/>
        <w:widowControl/>
        <w:spacing w:line="360" w:lineRule="auto" w:before="120" w:after="4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16. Какие преимущества Parquet даёт последующим Spark-задачам по сравнению с CSV?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Parquet хранит типы, поддерживает колоночное чтение, сжатие и проталкивание фильтров. CSV требует восстановления типов; при чтении Parquet nullable может стать true даже при сохранении имён и типов полей.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Источники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Практическая работа №3. Распределенная модель обработки данных. Предоставленная методичка.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Транзакции КОМУС.zip. Предоставленный учебный архив; SHA-256 зафиксирован в source_manifest.json.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Apache Spark 3.5.7. Installation. https://spark.apache.org/docs/3.5.7/api/python/getting_started/install.html</w:t>
      </w:r>
    </w:p>
    <w:p>
      <w:pPr>
        <w:pStyle w:val="ReportBody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 Таблицы Olist из второй практики; версия и количество строк зафиксированы в source_manifest.json.</w:t>
      </w:r>
    </w:p>
    <w:sectPr w:rsidR="004651E5" w:rsidRPr="002A2FAC" w:rsidSect="002A2FAC">
      <w:pgSz w:w="11911" w:h="16841"/>
      <w:pgMar w:top="1134" w:right="850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 w:right="0"/>
      <w:jc w:val="center"/>
    </w:pPr>
    <w:r/>
    <w:fldSimple w:instr=" PAGE ">
      <w:r>
        <w:rPr>
          <w:rFonts w:ascii="Times New Roman" w:hAnsi="Times New Roman"/>
          <w:sz w:val="24"/>
        </w:rPr>
        <w:t>2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50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3272"/>
  <w15:docId w15:val="{EFBD09B5-06C2-49D7-8FF4-697B1EEC60D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/>
      <w:spacing w:after="0" w:line="360" w:lineRule="auto" w:before="0"/>
      <w:ind w:left="0" w:firstLine="709" w:right="0"/>
      <w:jc w:val="both"/>
    </w:pPr>
    <w:rPr>
      <w:rFonts w:ascii="Times New Roman" w:eastAsia="Times New Roman" w:hAnsi="Times New Roman" w:cs="Times New Roman"/>
      <w:b w:val="0"/>
      <w:i w:val="0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20" w:line="360" w:lineRule="auto" w:before="240"/>
      <w:ind w:left="0" w:firstLine="0" w:right="0"/>
      <w:jc w:val="center"/>
      <w:outlineLvl w:val="0"/>
    </w:pPr>
    <w:rPr>
      <w:rFonts w:ascii="Times New Roman" w:eastAsia="Times New Roman" w:hAnsi="Times New Roman" w:cs="Times New Roman"/>
      <w:b/>
      <w:i w:val="0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">
    <w:name w:val="heading 2"/>
    <w:pPr>
      <w:keepNext/>
      <w:keepLines/>
      <w:spacing w:line="360" w:lineRule="auto" w:before="240" w:after="120"/>
      <w:ind w:firstLine="0" w:left="0" w:right="0"/>
      <w:jc w:val="left"/>
    </w:pPr>
    <w:rPr>
      <w:rFonts w:ascii="Times New Roman" w:hAnsi="Times New Roman" w:eastAsia="Times New Roman" w:cs="Times New Roman"/>
      <w:b/>
      <w:i w:val="0"/>
      <w:color w:val="000000"/>
      <w:sz w:val="28"/>
    </w:rPr>
  </w:style>
  <w:style w:type="paragraph" w:customStyle="1" w:styleId="ReportBody">
    <w:name w:val="Report Body"/>
    <w:basedOn w:val="a"/>
    <w:pPr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</w:rPr>
  </w:style>
  <w:style w:type="paragraph" w:customStyle="1" w:styleId="ReportTable">
    <w:name w:val="Report Table"/>
    <w:basedOn w:val="a"/>
    <w:pPr>
      <w:spacing w:line="240" w:lineRule="auto" w:before="0" w:after="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ReportTableCaption">
    <w:name w:val="Report Table Caption"/>
    <w:basedOn w:val="a"/>
    <w:pPr>
      <w:spacing w:line="240" w:lineRule="auto" w:before="0" w:after="0"/>
      <w:ind w:firstLine="0" w:left="0" w:right="0"/>
      <w:jc w:val="left"/>
    </w:pPr>
    <w:rPr>
      <w:rFonts w:ascii="Times New Roman" w:hAnsi="Times New Roman" w:eastAsia="Times New Roman" w:cs="Times New Roman"/>
      <w:b w:val="0"/>
      <w:i/>
      <w:color w:val="000000"/>
      <w:sz w:val="24"/>
    </w:rPr>
  </w:style>
  <w:style w:type="paragraph" w:customStyle="1" w:styleId="ReportFigureCaption">
    <w:name w:val="Report Figure Caption"/>
    <w:basedOn w:val="a"/>
    <w:pPr>
      <w:spacing w:line="240" w:lineRule="auto" w:before="0" w:after="0"/>
      <w:ind w:firstLine="0" w:left="0" w:righ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</w:rPr>
  </w:style>
  <w:style w:type="paragraph" w:customStyle="1" w:styleId="ReportCode">
    <w:name w:val="Report Code"/>
    <w:basedOn w:val="a"/>
    <w:pPr>
      <w:spacing w:line="240" w:lineRule="auto" w:before="0" w:after="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27" Type="http://schemas.openxmlformats.org/officeDocument/2006/relationships/theme" Target="theme/theme1.xml"/><Relationship Id="rId28" Type="http://schemas.openxmlformats.org/officeDocument/2006/relationships/header" Target="header1.xml"/><Relationship Id="rId29" Type="http://schemas.openxmlformats.org/officeDocument/2006/relationships/header" Target="header2.xml"/><Relationship Id="rId30" Type="http://schemas.openxmlformats.org/officeDocument/2006/relationships/footer" Target="footer1.xml"/><Relationship Id="rId31" Type="http://schemas.openxmlformats.org/officeDocument/2006/relationships/footer" Target="footer2.xml"/><Relationship Id="rId6" Type="http://schemas.openxmlformats.org/officeDocument/2006/relationships/image" Target="media/image22.png"/><Relationship Id="rId7" Type="http://schemas.openxmlformats.org/officeDocument/2006/relationships/image" Target="media/image23.png"/><Relationship Id="rId8" Type="http://schemas.openxmlformats.org/officeDocument/2006/relationships/image" Target="media/image24.png"/><Relationship Id="rId9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№3</dc:title>
  <dc:subject/>
  <dc:creator>Албахтин И.В.</dc:creator>
  <cp:keywords/>
  <cp:lastModifiedBy>VeX EveryOne</cp:lastModifiedBy>
  <cp:revision>3</cp:revision>
  <cp:lastPrinted>2026-09-09T10:18:00Z</cp:lastPrinted>
  <dcterms:created xsi:type="dcterms:W3CDTF">2026-09-09T10:23:00Z</dcterms:created>
  <dcterms:modified xsi:type="dcterms:W3CDTF">2026-09-09T11:04:00Z</dcterms:modified>
</cp:coreProperties>
</file>