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A2FAC" w:rsidRPr="00867FE9" w14:paraId="6B19BF8D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7AA87AC2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Times New Roman" w:hAnsi="Times New Roman" w:cs="Times New Roman"/>
                <w:b w:val="0"/>
                <w:i w:val="0"/>
                <w:iCs/>
                <w:noProof/>
                <w:color w:val="000000"/>
                <w:sz w:val="24"/>
                <w14:ligatures w14:val="none"/>
              </w:rPr>
              <w:drawing>
                <wp:inline distT="0" distB="0" distL="0" distR="0" wp14:anchorId="216ADF78" wp14:editId="011FA19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A4E47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Times New Roman" w:ascii="Times New Roman" w:hAnsi="Times New Roman" w:cs="Times New Roman"/>
                <w:b w:val="0"/>
                <w:i w:val="0"/>
                <w:caps/>
                <w:color w:val="000000"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2DACB72A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55D6622F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left="0" w:firstLine="0"/>
              <w:jc w:val="center"/>
              <w:rPr>
                <w:rFonts w:ascii="Liberation Serif" w:eastAsia="Droid Sans Fallback" w:hAnsi="Liberation Serif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Times New Roman" w:hAnsi="Times New Roman" w:cs="Times New Roman"/>
                <w:b w:val="0"/>
                <w:i w:val="0"/>
                <w:color w:val="000000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ascii="Times New Roman" w:eastAsia="Times New Roman" w:hAnsi="Times New Roman" w:cs="Times New Roman"/>
                <w:b w:val="0"/>
                <w:i w:val="0"/>
                <w:color w:val="000000"/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rFonts w:ascii="Times New Roman" w:eastAsia="Times New Roman" w:hAnsi="Times New Roman" w:cs="Times New Roman"/>
                <w:b w:val="0"/>
                <w:i w:val="0"/>
                <w:color w:val="000000"/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i w:val="0"/>
                <w:snapToGrid w:val="0"/>
                <w:color w:val="00000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i w:val="0"/>
                <w:snapToGrid w:val="0"/>
                <w:color w:val="00000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i w:val="0"/>
                <w:snapToGrid w:val="0"/>
                <w:color w:val="00000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1C817686" w14:textId="77777777" w:rsidR="002A2FAC" w:rsidRPr="00867FE9" w:rsidRDefault="002A2FAC" w:rsidP="002A2FAC">
            <w:pPr>
              <w:widowControl w:val="0"/>
              <w:suppressAutoHyphens/>
              <w:ind w:left="0"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Times New Roman" w:cs="Times New Roman" w:ascii="Times New Roman" w:hAnsi="Times New Roman"/>
                <w:b/>
                <w:i w:val="0"/>
                <w:snapToGrid w:val="0"/>
                <w:color w:val="00000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rFonts w:eastAsia="Times New Roman" w:ascii="Times New Roman" w:hAnsi="Times New Roman" w:cs="Times New Roman"/>
                <w:b/>
                <w:i w:val="0"/>
                <w:color w:val="000000"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rFonts w:eastAsia="Times New Roman" w:ascii="Times New Roman" w:hAnsi="Times New Roman" w:cs="Times New Roman"/>
                <w:b/>
                <w:i w:val="0"/>
                <w:iCs/>
                <w:noProof/>
                <w:color w:val="000000"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0BD73EE2" wp14:editId="5B940AF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5FBA0D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i w:val="0"/>
          <w:color w:val="000000"/>
          <w:sz w:val="28"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31566F76" w14:textId="77777777" w:rsidR="002A2FAC" w:rsidRPr="00867FE9" w:rsidRDefault="002A2FAC" w:rsidP="002A2FAC">
      <w:pPr>
        <w:keepNext w:val="0"/>
        <w:widowControl/>
        <w:suppressAutoHyphens/>
        <w:spacing w:line="240" w:lineRule="auto" w:before="0" w:after="60"/>
        <w:ind w:left="0" w:firstLine="0" w:right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Кафедра прикладной математики</w:t>
      </w:r>
    </w:p>
    <w:p w14:paraId="5BFED86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5AC1061D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3A147BCC" w14:textId="77777777" w:rsidR="002A2FAC" w:rsidRPr="00867FE9" w:rsidRDefault="002A2FAC" w:rsidP="002A2FAC">
      <w:pPr>
        <w:keepNext w:val="0"/>
        <w:widowControl/>
        <w:suppressAutoHyphens/>
        <w:spacing w:line="240" w:lineRule="auto" w:before="0" w:after="60"/>
        <w:ind w:left="0" w:firstLine="0" w:right="0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ОТЧЕТ ПО ПРАКТИЧЕСКОЙ РАБОТЕ</w:t>
      </w:r>
    </w:p>
    <w:p w14:paraId="3EDE2537" w14:textId="77777777" w:rsidR="002A2FAC" w:rsidRPr="00867FE9" w:rsidRDefault="002A2FAC" w:rsidP="002A2FAC">
      <w:pPr>
        <w:keepNext w:val="0"/>
        <w:widowControl/>
        <w:suppressAutoHyphens/>
        <w:spacing w:line="240" w:lineRule="auto" w:before="0" w:after="60"/>
        <w:ind w:left="0" w:firstLine="0" w:right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 дисциплине «Технологии и инструментарий анализа больших данных»</w:t>
      </w:r>
    </w:p>
    <w:p w14:paraId="6B467C3B" w14:textId="77777777" w:rsidR="002A2FAC" w:rsidRPr="00867FE9" w:rsidRDefault="002A2FAC" w:rsidP="002A2FAC">
      <w:pPr>
        <w:keepNext w:val="0"/>
        <w:widowControl/>
        <w:suppressAutoHyphens/>
        <w:spacing w:line="240" w:lineRule="auto" w:before="0" w:after="60"/>
        <w:ind w:left="0" w:firstLine="0" w:right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Практическая работа №4</w:t>
        <w:br/>
        <w:t>Выполнение задач обработки данных</w:t>
        <w:br/>
        <w:t>в распределённых вычислениях</w:t>
      </w:r>
    </w:p>
    <w:p w14:paraId="0A18C7B1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3B18646" w14:textId="77777777" w:rsidR="002A2FAC" w:rsidRPr="00867FE9" w:rsidRDefault="002A2FAC" w:rsidP="002A2FAC">
      <w:pPr>
        <w:widowControl w:val="0"/>
        <w:suppressAutoHyphens/>
        <w:ind w:left="0"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C791560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60B7E4D2" w14:textId="77777777" w:rsidTr="00FC2A5B">
        <w:trPr>
          <w:gridAfter w:val="1"/>
          <w:wAfter w:w="1106" w:type="dxa"/>
        </w:trPr>
        <w:tc>
          <w:tcPr>
            <w:tcW w:w="2547" w:type="dxa"/>
          </w:tcPr>
          <w:p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Студент группы</w:t>
            </w:r>
          </w:p>
        </w:tc>
        <w:tc>
          <w:tcPr>
            <w:tcW w:w="4819" w:type="dxa"/>
          </w:tcPr>
          <w:p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ИНБО-12-23, Албахтин И.В.</w:t>
            </w:r>
          </w:p>
        </w:tc>
        <w:tc>
          <w:tcPr>
            <w:tcW w:w="1666" w:type="dxa"/>
            <w:gridSpan w:val="2"/>
          </w:tcPr>
          <w:p w14:paraId="395449A9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719AB1B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b w:val="0"/>
                <w:i w:val="0"/>
                <w:color w:val="000000"/>
                <w:sz w:val="18"/>
                <w:szCs w:val="18"/>
                <w:lang w:eastAsia="zh-CN" w:bidi="hi-IN"/>
              </w:rPr>
              <w:t>(подпись)</w:t>
            </w:r>
          </w:p>
          <w:p w14:paraId="56A05A5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2A721D48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09D2453A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b w:val="0"/>
                <w:i w:val="0"/>
                <w:color w:val="000000"/>
                <w:sz w:val="24"/>
                <w:szCs w:val="24"/>
                <w:lang w:eastAsia="zh-CN" w:bidi="hi-IN"/>
              </w:rPr>
              <w:t>Преподаватель</w:t>
            </w:r>
          </w:p>
          <w:p w14:paraId="62B67BFD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Воронцов Ю.А.</w:t>
            </w:r>
          </w:p>
        </w:tc>
        <w:tc>
          <w:tcPr>
            <w:tcW w:w="1666" w:type="dxa"/>
            <w:gridSpan w:val="2"/>
          </w:tcPr>
          <w:p w14:paraId="5D99D8C5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721DF3BA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021C1192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b w:val="0"/>
                <w:i w:val="0"/>
                <w:color w:val="000000"/>
                <w:sz w:val="18"/>
                <w:szCs w:val="18"/>
                <w:lang w:eastAsia="zh-CN" w:bidi="hi-IN"/>
              </w:rPr>
              <w:t>(подпись)</w:t>
            </w:r>
          </w:p>
          <w:p w14:paraId="09DAD034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4EE62744" w14:textId="77777777" w:rsidTr="00FC2A5B">
        <w:tc>
          <w:tcPr>
            <w:tcW w:w="2547" w:type="dxa"/>
          </w:tcPr>
          <w:p w14:paraId="76DA1B13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284DA73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4615D701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</w:tbl>
    <w:p w14:paraId="5802CB64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7E4195EA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35212300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3A4D719C" w14:textId="2CA860B9" w:rsidR="004651E5" w:rsidRPr="002A2FAC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headerReference w:type="default" r:id="rId28"/>
          <w:headerReference w:type="first" r:id="rId29"/>
          <w:footerReference w:type="default" r:id="rId30"/>
          <w:footerReference w:type="first" r:id="rId31"/>
          <w:pgSz w:w="11906" w:h="16838"/>
          <w:pgMar w:top="1134" w:right="850" w:bottom="1134" w:left="1701" w:header="720" w:footer="720" w:gutter="0"/>
          <w:cols w:space="720"/>
          <w:titlePg/>
          <w:docGrid w:linePitch="381"/>
        </w:sectPr>
      </w:pPr>
      <w:r w:rsidRPr="00867FE9"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8"/>
          <w:lang w:eastAsia="zh-CN" w:bidi="hi-IN"/>
          <w14:ligatures w14:val="none"/>
        </w:rPr>
        <w:t>Москва 2026 г.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 Цель и условия эксперимента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Цель работы — сопоставить логический результат Spark-обработки с физическим планом, стадиями, задачами, shuffle и затратами времени. Исследованы lazy evaluation, repartition/coalesce, groupBy, две стратегии JOIN, persist, число партиций и выходных файлов. Самостоятельная часть выполнена по варианту B: order_items и sellers, группировка по seller_state.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данном стенде Broadcast Hash Join оказался быстрее Sort Merge Join в трёх прогретых повторениях. Persist ускорил повторные действия, но с учётом материализации не окупился за два действия. В коротком синтетическом benchmark увеличение числа партиций не дало ускорения; эти результаты относятся только к локальной VM.</w:t>
      </w:r>
    </w:p>
    <w:p>
      <w:pPr>
        <w:pStyle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 Стенд и исходные данные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1.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1 – Паспорт стенда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236"/>
      </w:tblGrid>
      <w:tr>
        <w:trPr>
          <w:cantSplit/>
          <w:tblHeader/>
        </w:trPr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Фактическое значение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Среда</w:t>
            </w:r>
          </w:p>
        </w:tc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VirtualBox, Ubuntu 22.04.5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Ресурсы VM</w:t>
            </w:r>
          </w:p>
        </w:tc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 vCPU, 4 ГБ ОЗУ, диск 40 ГБ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Процессор хоста</w:t>
            </w:r>
          </w:p>
        </w:tc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AMD Ryzen 7 9700X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Python</w:t>
            </w:r>
          </w:p>
        </w:tc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3.10.12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Java</w:t>
            </w:r>
          </w:p>
        </w:tc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openjdk version "17.0.20.1" 2026-08-18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Spark</w:t>
            </w:r>
          </w:p>
        </w:tc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3.5.7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Master и parallelism</w:t>
            </w:r>
          </w:p>
        </w:tc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local[*], 2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Shuffle partitions</w:t>
            </w:r>
          </w:p>
        </w:tc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AQE</w:t>
            </w:r>
          </w:p>
        </w:tc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false</w:t>
            </w:r>
          </w:p>
        </w:tc>
      </w:tr>
    </w:tbl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Python 3.10.12 используется из изолированного окружения Ubuntu. Методичка рекомендует Python 3.11, но выбранная версия совместима с Spark 3.5.7 и JDK 17. Local[*] использует два доступных виртуальных ядра и не является физическим кластером.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Во всей основной серии фиксированы AQE=false, spark.sql.shuffle.partitions=8 и autoBroadcastJoinThreshold=-1. Driver memory — 1536 МБ. Работают фоновые службы учебного стенда второй практики; их конфигурация не менялась, но фоновая нагрузка остаётся ограничением. SQLite восстановлена из Olist второй практики; подготовка CSV и Parquet не входит в измеряемые действия.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2.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2 – Входные DataFrame Parquet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2268"/>
        <w:gridCol w:w="1417"/>
      </w:tblGrid>
      <w:tr>
        <w:trPr>
          <w:cantSplit/>
          <w:tblHeader/>
        </w:trPr>
        <w:tc>
          <w:tcPr>
            <w:tcW w:type="dxa" w:w="5669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Таблица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Строки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Партиции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geolocation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1 000 163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order_items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112 650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products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32 951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sellers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3 095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product_category_name_translation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71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</w:tbl>
    <w:p>
      <w:pPr>
        <w:pStyle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 Ленивые вычисления и партиции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 группе P4_LAZY до построения select/filter/withColumn и после него список Jobs пуст. После count появился Job 26, получено 1 000 163 строк за 0,166 с. Count требует подсчёта строк, но Catalyst может исключить неиспользуемое abs_lat; это не замер стоимости вычисления всех признаков.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Две входные партиции geolocation не совпадают с восемью SQL shuffle partitions. Структура «действие → Jobs → Stages → Tasks» зависит от физического плана: глобальная агрегация count включает финальную задачу даже без предметной группировки.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3.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3 – Пять наиболее представленных штатов geolocation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969"/>
        <w:gridCol w:w="3118"/>
      </w:tblGrid>
      <w:tr>
        <w:trPr>
          <w:cantSplit/>
          <w:tblHeader/>
        </w:trPr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Штат</w:t>
            </w:r>
          </w:p>
        </w:tc>
        <w:tc>
          <w:tcPr>
            <w:tcW w:type="dxa" w:w="3969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Строки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Доля 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SP</w:t>
            </w:r>
          </w:p>
        </w:tc>
        <w:tc>
          <w:tcPr>
            <w:tcW w:type="dxa" w:w="3969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404 268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40,42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MG</w:t>
            </w:r>
          </w:p>
        </w:tc>
        <w:tc>
          <w:tcPr>
            <w:tcW w:type="dxa" w:w="3969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126 336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12,63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RJ</w:t>
            </w:r>
          </w:p>
        </w:tc>
        <w:tc>
          <w:tcPr>
            <w:tcW w:type="dxa" w:w="3969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121 169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12,11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RS</w:t>
            </w:r>
          </w:p>
        </w:tc>
        <w:tc>
          <w:tcPr>
            <w:tcW w:type="dxa" w:w="3969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61 851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6,18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PR</w:t>
            </w:r>
          </w:p>
        </w:tc>
        <w:tc>
          <w:tcPr>
            <w:tcW w:type="dxa" w:w="3969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57 859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5,78</w:t>
            </w:r>
          </w:p>
        </w:tc>
      </w:tr>
    </w:tbl>
    <w:p>
      <w:pPr>
        <w:pStyle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4 Repartition и coalesce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Geo сначала перераспределена в 16 разделов по штату, затем уменьшена до четырёх двумя способами. В плане repartition(4) оптимизатор свёл последовательные перераспределения к Exchange RoundRobinPartitioning(4). План coalesce(4) содержит Coalesce над исходным Exchange hashpartitioning(state, 16): нового полного shuffle нет, но исходный обмен сохраняется. Поэтому отсутствие дополнительного Exchange не означает отсутствия shuffle во всём плане.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4.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4 – Распределение строк по четырём выходным партициям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984"/>
        <w:gridCol w:w="2268"/>
        <w:gridCol w:w="2268"/>
      </w:tblGrid>
      <w:tr>
        <w:trPr>
          <w:cantSplit/>
          <w:tblHeader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Способ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Минимум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Максимум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Среднее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repartition(4)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250 040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250 041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250 040,75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coalesce(4)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88 462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626 485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250 040,75</w:t>
            </w:r>
          </w:p>
        </w:tc>
      </w:tr>
    </w:tbl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Repartition выровнял размеры до 250 040–250 041 строки, coalesce сохранил диапазон 88 462–626 485. Замеры count составили 0,309 и 0,206 с соответственно. Единичные времена иллюстративны; механизм подтверждён планом и UI, а не только скоростью.</w:t>
      </w:r>
    </w:p>
    <w:p>
      <w:pPr>
        <w:pStyle w:val="ReportBody"/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рисунке 1 показан результат выполнения на стенде.</w:t>
      </w:r>
    </w:p>
    <w:p>
      <w:pPr>
        <w:keepNext/>
        <w:widowControl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298370852" name="Picture 298370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artition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Caption"/>
        <w:keepNext w:val="0"/>
        <w:keepLines/>
        <w:widowControl/>
        <w:spacing w:line="240" w:lineRule="auto" w:before="60" w:after="120"/>
        <w:ind w:firstLine="0" w:left="0" w:right="0"/>
        <w:jc w:val="center"/>
      </w:pPr>
      <w:r>
        <w:t>Рисунок 1 – Фактические размеры партиций и появление Job после action</w:t>
      </w:r>
    </w:p>
    <w:p>
      <w:pPr>
        <w:pStyle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 GroupBy и физические операторы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Группировка по seller_id содержит частичную HashAggregate, Exchange hashpartitioning(seller_id, 8) и финальную HashAggregate. В Job 39 выполнены стадии 73 и 74 с 2 и 8 задачами; объём Shuffle Read и Write — по 269 271 байту. Это реальный обмен промежуточными агрегатами, а не отправка всех исходных столбцов.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5.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5 – Пять продавцов с большой суммой price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701"/>
        <w:gridCol w:w="2835"/>
        <w:gridCol w:w="1984"/>
      </w:tblGrid>
      <w:tr>
        <w:trPr>
          <w:cantSplit/>
          <w:tblHeader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Продавец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Позиции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Сумма price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Среднее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4869f7a5dfa2…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1156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229 472,63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198,51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53243585a1d6…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410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222 776,05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543,36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4a3ca9315b74…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1987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200 472,92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100,89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fa1c13f2614d…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586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194 042,03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331,13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7c67e1448b00…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1364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187 923,89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137,77</w:t>
            </w:r>
          </w:p>
        </w:tc>
      </w:tr>
    </w:tbl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План примера price ≥ 100 читается от Scan parquet к Filter, Project, частичной HashAggregate, Exchange и финальной HashAggregate. Отдельный orderBy добавляет Sort. Номера узлов и внутренних атрибутов не являются устойчивым интерфейсом.</w:t>
      </w:r>
    </w:p>
    <w:p>
      <w:pPr>
        <w:pStyle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6 Сравнение стратегий JOIN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Обе стратегии соединяют order_items с products по product_id и возвращают 112 650 строк. Sort Merge Join имеет Exchange и Sort с обеих сторон; Broadcast Hash Join передаёт правый справочник через BroadcastExchange и не делает key-shuffle большой стороны. При count остаётся небольшой shuffle финального счётчика: BHJ не означает ноль любого обмена.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6.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6 – Измерения JOIN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268"/>
        <w:gridCol w:w="2835"/>
        <w:gridCol w:w="2268"/>
      </w:tblGrid>
      <w:tr>
        <w:trPr>
          <w:cantSplit/>
          <w:tblHeader/>
        </w:trPr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Стратегия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Первый count с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Медиана 3 повторов с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Строки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SMJ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0,343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0,182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112 650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BHJ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0,217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0,111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112 650</w:t>
            </w:r>
          </w:p>
        </w:tc>
      </w:tr>
    </w:tbl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Медианы SMJ/BHJ: 0,182 / 0,111 с. По первому измеренному action SMJ получил 4 стадии и 12 задач с 3 917 308 байт shuffle, BHJ — 3 стадии в двух Jobs и 4 задачи с 118 байт shuffle. Broadcast имеет собственные расходы и память, не включённые в счётчик shuffle.</w:t>
      </w:r>
    </w:p>
    <w:p>
      <w:pPr>
        <w:pStyle w:val="ReportBody"/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рисунке 2 показан результат выполнения на стенде.</w:t>
      </w:r>
    </w:p>
    <w:p>
      <w:pPr>
        <w:keepNext/>
        <w:widowControl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676100"/>
            <wp:docPr id="298370853" name="Picture 298370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mj_plan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7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Caption"/>
        <w:keepNext w:val="0"/>
        <w:keepLines/>
        <w:widowControl/>
        <w:spacing w:line="240" w:lineRule="auto" w:before="60" w:after="120"/>
        <w:ind w:firstLine="0" w:left="0" w:right="0"/>
        <w:jc w:val="center"/>
      </w:pPr>
      <w:r>
        <w:t>Рисунок 2 – Реальные Sort и SortMergeJoin в SQL DataFrame UI</w:t>
      </w:r>
    </w:p>
    <w:p>
      <w:pPr>
        <w:pStyle w:val="ReportBody"/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рисунке 3 показан результат выполнения на стенде.</w:t>
      </w:r>
    </w:p>
    <w:p>
      <w:pPr>
        <w:keepNext/>
        <w:widowControl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676100"/>
            <wp:docPr id="298370854" name="Picture 298370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hj_plan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7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Caption"/>
        <w:keepNext w:val="0"/>
        <w:keepLines/>
        <w:widowControl/>
        <w:spacing w:line="240" w:lineRule="auto" w:before="60" w:after="120"/>
        <w:ind w:firstLine="0" w:left="0" w:right="0"/>
        <w:jc w:val="center"/>
      </w:pPr>
      <w:r>
        <w:t>Рисунок 3 – Реальные BroadcastExchange и BroadcastHashJoin</w:t>
      </w:r>
    </w:p>
    <w:p>
      <w:pPr>
        <w:pStyle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7 Повторное вычисление и persist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Промежуточный DataFrame соединяет позиции с товарами и продавцами и вычисляет gross_value. Два действия агрегируют его по категории и штату продавца, затем возвращают контрольные суммы. Persist(MEMORY_AND_DISK) материализован count; суммы до и после кэша совпадают с допуском 0,01.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7.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7 – Полная стоимость двух действий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984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Вариант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Заполнение кэша, с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Действие 1 с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Действие 2 с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Итого 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Без кэша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0,279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0,222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0,502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 persist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0,531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0,136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0,058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0,726</w:t>
            </w:r>
          </w:p>
        </w:tc>
      </w:tr>
    </w:tbl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Повторные действия занимают 0,195 с вместо 0,502 с, но материализация стоит 0,531 с. Общая стоимость с кэшем 0,726 с выше исходной: при двух действиях сохранение не окупилось. UI показывает две сохранённые партиции, 100% материализации и около 8,3 МиБ в памяти. После unpersist(blocking=True) is_cached=False.</w:t>
      </w:r>
    </w:p>
    <w:p>
      <w:pPr>
        <w:pStyle w:val="ReportBody"/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рисунке 4 показан результат выполнения на стенде.</w:t>
      </w:r>
    </w:p>
    <w:p>
      <w:pPr>
        <w:keepNext/>
        <w:widowControl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675772"/>
            <wp:docPr id="298370855" name="Picture 298370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75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Caption"/>
        <w:keepNext w:val="0"/>
        <w:keepLines/>
        <w:widowControl/>
        <w:spacing w:line="240" w:lineRule="auto" w:before="60" w:after="120"/>
        <w:ind w:firstLine="0" w:left="0" w:right="0"/>
        <w:jc w:val="center"/>
      </w:pPr>
      <w:r>
        <w:t>Рисунок 4 – Подтверждение материализации промежуточного DataFrame в Storage</w:t>
      </w:r>
    </w:p>
    <w:p>
      <w:pPr>
        <w:pStyle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8 Benchmark и маленькие файлы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Синтетический набор имеет N=2 000 000, ключ id % 1000 и value=sqrt(id+1). После прогрева выполнены три запуска для каждого p=1,2,4,8,16,32. Shuffle partitions равны 8. Контрольные суммы близки к 1 885 618 790,063; небольшое различие последних знаков обусловлено порядком сложения double.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8.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8 – Медианы синтетического benchmark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1701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850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t1 с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t2 с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t3 с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Медиана с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T1/Tp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0,100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0,074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0,050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0,074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1,000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0,119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0,062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0,086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0,086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0,854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0,114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0,080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0,067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0,080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0,927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0,139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0,088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0,063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0,088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0,840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0,151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0,110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0,109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0,110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0,673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32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0,201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0,145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0,153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0,153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0,481</w:t>
            </w:r>
          </w:p>
        </w:tc>
      </w:tr>
    </w:tbl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Лучшее время в этой короткой серии получено при p=1, а p=32 увеличило накладные расходы. Это не означает, что один раздел оптимален для больших данных: используются только два vCPU, небольшая вычислительная нагрузка и прогретая JVM. Серия не меняет число физических узлов.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9.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9 – Отдельный опыт числа shuffle partitions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685"/>
      </w:tblGrid>
      <w:tr>
        <w:trPr>
          <w:cantSplit/>
          <w:tblHeader/>
        </w:trPr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q</w:t>
            </w:r>
          </w:p>
        </w:tc>
        <w:tc>
          <w:tcPr>
            <w:tcW w:type="dxa" w:w="3402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Группы</w:t>
            </w:r>
          </w:p>
        </w:tc>
        <w:tc>
          <w:tcPr>
            <w:tcW w:type="dxa" w:w="368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Время 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402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27</w:t>
            </w:r>
          </w:p>
        </w:tc>
        <w:tc>
          <w:tcPr>
            <w:tcW w:type="dxa" w:w="368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0,295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3402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27</w:t>
            </w:r>
          </w:p>
        </w:tc>
        <w:tc>
          <w:tcPr>
            <w:tcW w:type="dxa" w:w="368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0,188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3402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27</w:t>
            </w:r>
          </w:p>
        </w:tc>
        <w:tc>
          <w:tcPr>
            <w:tcW w:type="dxa" w:w="368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0,211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3402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27</w:t>
            </w:r>
          </w:p>
        </w:tc>
        <w:tc>
          <w:tcPr>
            <w:tcW w:type="dxa" w:w="368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0,227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32</w:t>
            </w:r>
          </w:p>
        </w:tc>
        <w:tc>
          <w:tcPr>
            <w:tcW w:type="dxa" w:w="3402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27</w:t>
            </w:r>
          </w:p>
        </w:tc>
        <w:tc>
          <w:tcPr>
            <w:tcW w:type="dxa" w:w="368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0,332</w:t>
            </w:r>
          </w:p>
        </w:tc>
      </w:tr>
    </w:tbl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Во всех q получено 27 штатов. Это дополнительные одиночные измерения, а не серия медиан; после них shuffle.partitions возвращён к 8.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10.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10 – Число выходных Parquet файлов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701"/>
        <w:gridCol w:w="2551"/>
        <w:gridCol w:w="2835"/>
      </w:tblGrid>
      <w:tr>
        <w:trPr>
          <w:cantSplit/>
          <w:tblHeader/>
        </w:trPr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Партиции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Файлы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Объём МиБ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Средний КиБ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6,456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6 611,425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7,464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1 910,897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8,756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560,407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64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64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10,301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164,824</w:t>
            </w:r>
          </w:p>
        </w:tc>
      </w:tr>
    </w:tbl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При росте p от 1 до 64 число part-файлов выросло от 1 до 64, общий объём — от 6,456 до 10,301 МиБ. Малые файлы имеют дополнительные метаданные и хуже используют сжатие. Учебный coalesce(1) создал один файл, но для больших фактов такой способ ограничивает запись одной задачей.</w:t>
      </w:r>
    </w:p>
    <w:p>
      <w:pPr>
        <w:pStyle w:val="ReportBody"/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рисунке 5 показан результат выполнения на стенде.</w:t>
      </w:r>
    </w:p>
    <w:p>
      <w:pPr>
        <w:keepNext/>
        <w:widowControl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298370856" name="Picture 298370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benchma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Caption"/>
        <w:keepNext w:val="0"/>
        <w:keepLines/>
        <w:widowControl/>
        <w:spacing w:line="240" w:lineRule="auto" w:before="60" w:after="120"/>
        <w:ind w:firstLine="0" w:left="0" w:right="0"/>
        <w:jc w:val="center"/>
      </w:pPr>
      <w:r>
        <w:t>Рисунок 5 – Реальные времена повторений и измеренные размеры part файлов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 дополнительном опыте AQE=true с исходными 32 shuffle partitions итоговая агрегация дала 27 групп и 1 выходную партицию. В финальном плане появился AQEShuffleRead с coalesced; затем базовая конфигурация восстановлена.</w:t>
      </w:r>
    </w:p>
    <w:p>
      <w:pPr>
        <w:pStyle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9 Журнал Spark UI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11.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11 – Счётчики измеренных действий UI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850"/>
        <w:gridCol w:w="1134"/>
        <w:gridCol w:w="1134"/>
        <w:gridCol w:w="1701"/>
        <w:gridCol w:w="1701"/>
      </w:tblGrid>
      <w:tr>
        <w:trPr>
          <w:cantSplit/>
          <w:tblHeader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Опыт</w:t>
            </w:r>
          </w:p>
        </w:tc>
        <w:tc>
          <w:tcPr>
            <w:tcW w:type="dxa" w:w="850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Jobs</w:t>
            </w:r>
          </w:p>
        </w:tc>
        <w:tc>
          <w:tcPr>
            <w:tcW w:type="dxa" w:w="113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Stages</w:t>
            </w:r>
          </w:p>
        </w:tc>
        <w:tc>
          <w:tcPr>
            <w:tcW w:type="dxa" w:w="113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Tasks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Read КиБ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Write КиБ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GroupBy</w:t>
            </w:r>
          </w:p>
        </w:tc>
        <w:tc>
          <w:tcPr>
            <w:tcW w:type="dxa" w:w="850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13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262,96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262,96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Repartition 4</w:t>
            </w:r>
          </w:p>
        </w:tc>
        <w:tc>
          <w:tcPr>
            <w:tcW w:type="dxa" w:w="850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13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23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172,58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172,58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Coalesce 4</w:t>
            </w:r>
          </w:p>
        </w:tc>
        <w:tc>
          <w:tcPr>
            <w:tcW w:type="dxa" w:w="850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13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151,84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151,84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SMJ</w:t>
            </w:r>
          </w:p>
        </w:tc>
        <w:tc>
          <w:tcPr>
            <w:tcW w:type="dxa" w:w="850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13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3 825,50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3 825,50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BHJ</w:t>
            </w:r>
          </w:p>
        </w:tc>
        <w:tc>
          <w:tcPr>
            <w:tcW w:type="dxa" w:w="850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13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13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0,12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0,12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Материализация</w:t>
            </w:r>
          </w:p>
        </w:tc>
        <w:tc>
          <w:tcPr>
            <w:tcW w:type="dxa" w:w="850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13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13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0,12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0,12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Кэш действие</w:t>
            </w:r>
          </w:p>
        </w:tc>
        <w:tc>
          <w:tcPr>
            <w:tcW w:type="dxa" w:w="850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13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6,29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6,29</w:t>
            </w:r>
          </w:p>
        </w:tc>
      </w:tr>
    </w:tbl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Счётчики получены из REST API живого приложения и сверены с UI. Stages учитываются без повторного суммирования внутри одного измерения. Последующая сортировка самостоятельного агрегата может повторно читать готовый shuffle, поэтому Read и Write не обязаны совпадать. Количество Jobs также не равно числу строк кода.</w:t>
      </w:r>
    </w:p>
    <w:p>
      <w:pPr>
        <w:pStyle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10 Самостоятельный вариант B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Прочитаны 112 650 позиций в двух входных партициях и 3 095 продавцов в одной. Select, filter(price&gt;0) и withColumn(gross) не создали Jobs; count создал Job 97. JOIN по seller_id обеими стратегиями сохранил 112 650 строк.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12.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12 – Штаты продавцов по gross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835"/>
        <w:gridCol w:w="4252"/>
      </w:tblGrid>
      <w:tr>
        <w:trPr>
          <w:cantSplit/>
          <w:tblHeader/>
        </w:trPr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Штат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Позиции</w:t>
            </w:r>
          </w:p>
        </w:tc>
        <w:tc>
          <w:tcPr>
            <w:tcW w:type="dxa" w:w="4252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Цена с доставкой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SP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80 342</w:t>
            </w:r>
          </w:p>
        </w:tc>
        <w:tc>
          <w:tcPr>
            <w:tcW w:type="dxa" w:w="4252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10 235 883,88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PR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8 671</w:t>
            </w:r>
          </w:p>
        </w:tc>
        <w:tc>
          <w:tcPr>
            <w:tcW w:type="dxa" w:w="4252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1 458 900,73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MG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8 827</w:t>
            </w:r>
          </w:p>
        </w:tc>
        <w:tc>
          <w:tcPr>
            <w:tcW w:type="dxa" w:w="4252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1 224 159,80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RJ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4 818</w:t>
            </w:r>
          </w:p>
        </w:tc>
        <w:tc>
          <w:tcPr>
            <w:tcW w:type="dxa" w:w="4252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937 814,12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SC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4 075</w:t>
            </w:r>
          </w:p>
        </w:tc>
        <w:tc>
          <w:tcPr>
            <w:tcW w:type="dxa" w:w="4252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738 973,13</w:t>
            </w:r>
          </w:p>
        </w:tc>
      </w:tr>
    </w:tbl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Группировка содержит Exchange по seller_state. Измеренный агрегат с сортировкой дал 3 Jobs, 27 выполненных Tasks, 5,20 КиБ Shuffle Read и 3,39 КиБ Write. Это включает сортировку, а не только HashAggregate.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13.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13 – Контроль самостоятельного repartition coalesce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984"/>
        <w:gridCol w:w="2268"/>
        <w:gridCol w:w="2268"/>
      </w:tblGrid>
      <w:tr>
        <w:trPr>
          <w:cantSplit/>
          <w:tblHeader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Способ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Минимум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Максимум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Среднее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repartition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28 161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28 165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28 162,50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coalesce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5 348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88 381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28 162,50</w:t>
            </w:r>
          </w:p>
        </w:tc>
      </w:tr>
    </w:tbl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14.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14 – JOIN варианта B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984"/>
        <w:gridCol w:w="1701"/>
        <w:gridCol w:w="1701"/>
        <w:gridCol w:w="2268"/>
      </w:tblGrid>
      <w:tr>
        <w:trPr>
          <w:cantSplit/>
          <w:tblHeader/>
        </w:trPr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Стратегия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Время с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Stages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Tasks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Shuffle КиБ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SMJ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0,199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1 337,59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BHJ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0,084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0,12</w:t>
            </w:r>
          </w:p>
        </w:tc>
      </w:tr>
    </w:tbl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Два действия без кэша заняли 0,293 с. Материализация заняла 0,155 с, повторные действия — 0,160 с; с учётом материализации 0,314 с. Кэш опять ускорил повторное использование, но не окупился за два действия.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15.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15 – Три повторения для p варианта B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984"/>
        <w:gridCol w:w="1984"/>
        <w:gridCol w:w="1984"/>
        <w:gridCol w:w="2268"/>
      </w:tblGrid>
      <w:tr>
        <w:trPr>
          <w:cantSplit/>
          <w:tblHeader/>
        </w:trPr>
        <w:tc>
          <w:tcPr>
            <w:tcW w:type="dxa" w:w="113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t1 с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t2 с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t3 с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Медиана с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0,102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0,112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0,118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0,112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0,134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0,124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0,139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0,134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0,132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0,117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0,121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0,121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0,157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0,154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0,167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0,157</w:t>
            </w:r>
          </w:p>
        </w:tc>
      </w:tr>
    </w:tbl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16.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16 – Запись агрегата варианта B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3685"/>
      </w:tblGrid>
      <w:tr>
        <w:trPr>
          <w:cantSplit/>
          <w:tblHeader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Партиции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Файлы</w:t>
            </w:r>
          </w:p>
        </w:tc>
        <w:tc>
          <w:tcPr>
            <w:tcW w:type="dxa" w:w="368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Объём МиБ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68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0,0013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368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0,0041</w:t>
            </w:r>
          </w:p>
        </w:tc>
      </w:tr>
    </w:tbl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Каждому p предшествовал прогревочный запуск, затем использована медиана трёх повторов. Итог по seller_state дополнительно сохранён в exports/pr4_variant_parquet. Минимум два размера записи сопоставлены с фактическим числом файлов.</w:t>
      </w:r>
    </w:p>
    <w:p>
      <w:pPr>
        <w:pStyle w:val="ReportBody"/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рисунке 6 показан результат выполнения на стенде.</w:t>
      </w:r>
    </w:p>
    <w:p>
      <w:pPr>
        <w:keepNext/>
        <w:widowControl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676100"/>
            <wp:docPr id="298370857" name="Picture 298370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variant_pla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7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Caption"/>
        <w:keepNext w:val="0"/>
        <w:keepLines/>
        <w:widowControl/>
        <w:spacing w:line="240" w:lineRule="auto" w:before="60" w:after="120"/>
        <w:ind w:firstLine="0" w:left="0" w:right="0"/>
        <w:jc w:val="center"/>
      </w:pPr>
      <w:r>
        <w:t>Рисунок 6 – SQL DataFrame план самостоятельного SMJ по seller_id</w:t>
      </w:r>
    </w:p>
    <w:p>
      <w:pPr>
        <w:pStyle w:val="ReportBody"/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рисунке 7 показан результат выполнения на стенде.</w:t>
      </w:r>
    </w:p>
    <w:p>
      <w:pPr>
        <w:keepNext/>
        <w:widowControl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327679"/>
            <wp:docPr id="298370858" name="Picture 298370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variant_stage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27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Caption"/>
        <w:keepNext w:val="0"/>
        <w:keepLines/>
        <w:widowControl/>
        <w:spacing w:line="240" w:lineRule="auto" w:before="60" w:after="120"/>
        <w:ind w:firstLine="0" w:left="0" w:right="0"/>
        <w:jc w:val="center"/>
      </w:pPr>
      <w:r>
        <w:t>Рисунок 7 – Завершённые стадии Job 98: Tasks и shuffle самостоятельного варианта B</w:t>
      </w:r>
    </w:p>
    <w:p>
      <w:pPr>
        <w:pStyle w:val="ReportBody"/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рисунке 8 показан результат выполнения на стенде.</w:t>
      </w:r>
    </w:p>
    <w:p>
      <w:pPr>
        <w:keepNext/>
        <w:widowControl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327679"/>
            <wp:docPr id="298370859" name="Picture 298370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ariant_stor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27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Caption"/>
        <w:keepNext w:val="0"/>
        <w:keepLines/>
        <w:widowControl/>
        <w:spacing w:line="240" w:lineRule="auto" w:before="60" w:after="120"/>
        <w:ind w:firstLine="0" w:left="0" w:right="0"/>
        <w:jc w:val="center"/>
      </w:pPr>
      <w:r>
        <w:t>Рисунок 8 – Materialized Storage самостоятельного варианта B</w:t>
      </w:r>
    </w:p>
    <w:p>
      <w:pPr>
        <w:pStyle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11 Выводы и ограничения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 Цепочки transformations не создали Jobs; action запустил выполнение. При count оптимизатор вправе удалить неиспользуемые признаки.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 Количество входных разделов и shuffle partitions различается: два входных раздела geolocation не означают две задачи каждой последующей стадии.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 GroupBy seller_id создал Exchange и переход от двух к восьми задачам, что подтверждается планом и UI.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 Repartition(4) выровнял geolocation почти идеально, а coalesce(4) сохранил сильный перекос и имел меньшую цену данного count.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5. SMJ и BHJ сохранили одинаковые факты; BHJ исключил shuffle по ключу большой стороны и был быстрее в прогретой серии этого стенда.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6. Persist ускорил повторные действия, но материализация не окупилась за два действия ни в основной, ни в самостоятельной серии.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7. Для короткого benchmark p=1 оказался быстрее увеличенных p; рост числа разделов увеличивает планирование и не гарантирует ускорение.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8. Увеличение выходных разделов создало больше файлов и увеличило общий размер Parquet. AQE смог объединить 32 shuffle partitions в одну выходную.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9. В варианте B справочник sellers покрывает все факты; смена стратегии JOIN изменила стадии и обмен, но не число строк.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10. В варианте B median зависела от p, а запись с 1 и 4 разделами дала соответствующие числа файлов; результаты подтверждены отдельными UI-фрагментами.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Ограничения: local[*] в VM с двумя vCPU не моделирует сеть и отказоустойчивость физического кластера. Измерения длительностью доли секунды зависят от JIT, прогрева, файлового кэша, нагрузки хоста и фоновых служб; три повтора и медиана уменьшают, но не устраняют эту неопределённость. Первые одиночные замеры JOIN, q и persist используются вместе с планами, а не как универсальные оценки производительности.</w:t>
      </w:r>
    </w:p>
    <w:p>
      <w:pPr>
        <w:pStyle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Ответы на контрольные вопросы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1. Чем transformation отличается от action с точки зрения момента фактического выполнения?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Transformation описывает новый план без обязательного вычисления. Action требует результат и запускает необходимые стадии выполнения.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 Что означает lazy evaluation и почему замер времени вокруг withColumn() без Action некорректен?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Вычисления откладываются до action. Время withColumn без action измеряет построение выражения, а не обработку строк; для проверки вычисляемого поля нужен action, использующий его значение.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3. Как связаны Job, Stage и Task?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Job представляет выполнение действия, Stage объединяет задачи без необходимого промежуточного shuffle, Task обычно обрабатывает одну партицию стадии. Один action может породить несколько Jobs.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4. Почему число Tasks в разных Stages одного Job может отличаться?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До shuffle используются входные партиции, после него — число разделов нового распределения. Финальная глобальная агрегация может выполняться одной задачей.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5. Что такое partition и чем он отличается от физического CPU core?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Partition является частью данных, CPU core — аппаратным ресурсом. Один core последовательно выполняет задачи нескольких партиций; партиция не закреплена за ядром навсегда.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6. Почему local[*] сохраняет модель распределённого выполнения, хотя используется один компьютер?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Local[*] сохраняет планирование стадий, задачи и shuffle, но выполняет их потоками одной JVM. Сетевую масштабируемость такой запуск не проверяет.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7. Что называют narrow и wide transformation? Приведите примеры.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Narrow-операции используют ограниченное число входных разделов: filter, select, простые withColumn. Wide-операции перераспределяют данные: groupBy, repartition и многие JOIN.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8. Что такое shuffle и почему он обычно дороже локального filter()/select()?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Shuffle перераспределяет записи между разделами с записью и чтением промежуточных данных. Filter и select обычно работают локально; в кластере к цене shuffle добавляется сетевой обмен.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9. Как оператор Exchange в physical plan связан с shuffle?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Exchange обозначает изменение распределения данных. В зависимости от вида это shuffle либо broadcast, поэтому следует читать тип оператора, а не только его название.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10. В чём различие repartition() и coalesce()?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Repartition может увеличить или уменьшить число разделов и обычно выполняет shuffle. Coalesce преимущественно уменьшает число разделов объединением существующих без нового полного обмена.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11. Почему coalesce() может сохранить неравномерные размеры partitions?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Объединение сохраняет расположение исходных строк. Если крупные исходные партиции попадут в одну группу, дисбаланс останется или усилится.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12. Что такое data skew и как он проявляется на geolocation_state?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Data skew — неравномерность объёма данных по ключам или партициям. SP содержит около 40,42% geolocation, поэтому hash-разбиение по штату может перегрузить отдельные задачи.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13. Что задаёт spark.sql.shuffle.partitions и почему это не то же самое, что число partitions исходного Parquet?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Параметр задаёт стандартное число shuffle partitions для SQL-операций. Входные Parquet partitions зависят от файлов, их размеров и параметров чтения; на стенде geolocation читается в двух разделах.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14. Какие physical operators необходимо уметь распознавать в explain("formatted")?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Нужно различать Scan, Filter, Project, Exchange, HashAggregate, Sort, SortMergeJoin, BroadcastExchange и BroadcastHashJoin. При persist полезны InMemoryTableScan, при AQE — AdaptiveSparkPlan и AQEShuffleRead.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15. Почему Sort Merge Join часто содержит Exchange и Sort с обеих сторон?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Обе стороны должны быть распределены по ключу соединения и отсортированы внутри разделов. Уже подходящая раскладка может устранить часть этих действий.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16. При каком условии Broadcast Hash Join может быть выгоден?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Если малая сторона помещается в память каждого исполнителя, её broadcast позволяет соединять большую сторону локально без shuffle по ключу JOIN.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17. Почему большую таблицу нельзя безусловно broadcast-ить?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Broadcast создаёт копию таблицы у исполнителей и hash-структуру. Слишком большой объём может исчерпать память и увеличить задержку передачи или привести к тайм-ауту.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18. Почему одинаковое число строк результата важно при сравнении двух JOIN-стратегий?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Это базовая проверка логической эквивалентности: нельзя сравнивать скорость запросов, возвращающих разные факты. Дополнительно проверяются ключи и уникальность справочника.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19. Что происходит при первом Action после persist()?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Первое действие вычисляет lineage и заполняет зарегистрированный кэш. Сам persist только объявляет сохранение; стоимость материализации должна входить в сравнение.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20. Почему cache() может ухудшить одноразовую задачу?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Одноразовая задача получает дополнительные расходы на запись и хранение кэша без последующего повторного использования. На стенде даже двух действий оказалось недостаточно для окупаемости.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21. Для чего нужен unpersist()?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Unpersist освобождает сохранённые блоки. Blocking=True позволяет дождаться освобождения перед следующей серией экспериментов.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22. Почему единичный benchmark-run недостаточен и зачем использовать медиану?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Прогрев JVM, JIT, дисковый кэш и фоновые процессы меняют время отдельных запусков. Медиана нескольких повторов менее чувствительна к отдельному выбросу, но не заменяет контроль условий.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23. Какие факторы делают абсолютное время Spark-задачи несопоставимым между разными компьютерами?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Влияют CPU, память, виртуализация, диски, версии Java и Spark, параметры сессии и фоновая нагрузка. Сравнивать следует варианты одного контролируемого стенда.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24. Почему слишком большое число partitions увеличивает overhead?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Возникает больше событий планировщика, сериализации, служебных объектов и мелких задач. Их расходы могут превысить выигрыш параллелизма.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25. Как связаны output partitions, Tasks записи и число part-файлов?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Выходная задача обычно записывает файл своей партиции. Пустые разделы, разделение записи по каталогам и настройки формата могут нарушить точное равенство; число файлов нужно измерять.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26. Почему coalesce(1) не является универсальным способом борьбы с small files?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Один раздел устраняет параллелизм записи и концентрирует данные в одном потоке. Размер набора и дальнейшее чтение важнее самого желания иметь один файл.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27. Что меняет Adaptive Query Execution и почему основные опыты этой работы выполняются с AQE=false?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AQE использует фактическую статистику, объединяет мелкие shuffle partitions и может менять стратегию JOIN. AQE=false фиксирует условия основных опытов и упрощает сравнение.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28. Какие вкладки Spark UI наиболее полезны для анализа groupBy, JOIN и cache?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Jobs связывает действие с выполнением; Stages показывает задачи и shuffle; SQL/DataFrame раскрывает физический план; Storage подтверждает материализацию и освобождение кэша.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29. В чём различие между логическим выводом о данных и экспериментальным выводом о вычислительной системе?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Логический вывод описывает данные, например выручку штата. Вычислительный вывод описывает цену конкретного плана при фиксированных данных и конфигурации.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30. Как сформулировать корректный вывод о производительности так, чтобы не превратить локальный результат в универсальное правило?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Следует назвать данные, оборудование и параметры, изменённый фактор, число повторов, медиану и подтверждение в плане/UI. Вывод ограничивается этими условиями, а не распространяется на все кластеры.</w:t>
      </w:r>
    </w:p>
    <w:p>
      <w:pPr>
        <w:pStyle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Источники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 Технологии и инструментарий анализа больших данных. Практика №4. Предоставленная методичка.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 Восстановленные таблицы Olist второй практики, source_manifest.json.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 Apache Spark 3.5.7. Monitoring and Instrumentation. https://spark.apache.org/docs/3.5.7/monitoring.html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 Apache Spark 3.5.7. Tuning. https://spark.apache.org/docs/3.5.7/tuning.html</w:t>
      </w:r>
    </w:p>
    <w:sectPr w:rsidR="004651E5" w:rsidRPr="002A2FAC" w:rsidSect="002A2FAC">
      <w:pgSz w:w="11911" w:h="16841"/>
      <w:pgMar w:top="1134" w:right="850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line="240" w:lineRule="auto" w:before="0" w:after="0"/>
      <w:ind w:firstLine="0" w:left="0" w:right="0"/>
      <w:jc w:val="center"/>
    </w:pPr>
    <w:r/>
    <w:fldSimple w:instr=" PAGE ">
      <w:r>
        <w:rPr>
          <w:rFonts w:ascii="Times New Roman" w:hAnsi="Times New Roman"/>
          <w:sz w:val="24"/>
        </w:rPr>
        <w:t>2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4507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A2FAC"/>
    <w:rsid w:val="004651E5"/>
    <w:rsid w:val="0056694C"/>
    <w:rsid w:val="006E0771"/>
    <w:rsid w:val="00832C58"/>
    <w:rsid w:val="00AA2493"/>
    <w:rsid w:val="00B96F1B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3272"/>
  <w15:docId w15:val="{EFBD09B5-06C2-49D7-8FF4-697B1EEC60D0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/>
      <w:spacing w:after="0" w:line="360" w:lineRule="auto" w:before="0"/>
      <w:ind w:left="0" w:firstLine="709" w:right="0"/>
      <w:jc w:val="both"/>
    </w:pPr>
    <w:rPr>
      <w:rFonts w:ascii="Times New Roman" w:eastAsia="Times New Roman" w:hAnsi="Times New Roman" w:cs="Times New Roman"/>
      <w:b w:val="0"/>
      <w:i w:val="0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20" w:line="360" w:lineRule="auto" w:before="240"/>
      <w:ind w:left="0" w:firstLine="0" w:right="0"/>
      <w:jc w:val="center"/>
      <w:outlineLvl w:val="0"/>
    </w:pPr>
    <w:rPr>
      <w:rFonts w:ascii="Times New Roman" w:eastAsia="Times New Roman" w:hAnsi="Times New Roman" w:cs="Times New Roman"/>
      <w:b/>
      <w:i w:val="0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2">
    <w:name w:val="heading 2"/>
    <w:pPr>
      <w:keepNext/>
      <w:keepLines/>
      <w:spacing w:line="360" w:lineRule="auto" w:before="240" w:after="120"/>
      <w:ind w:firstLine="0" w:left="0" w:right="0"/>
      <w:jc w:val="left"/>
    </w:pPr>
    <w:rPr>
      <w:rFonts w:ascii="Times New Roman" w:hAnsi="Times New Roman" w:eastAsia="Times New Roman" w:cs="Times New Roman"/>
      <w:b/>
      <w:i w:val="0"/>
      <w:color w:val="000000"/>
      <w:sz w:val="28"/>
    </w:rPr>
  </w:style>
  <w:style w:type="paragraph" w:customStyle="1" w:styleId="ReportBody">
    <w:name w:val="Report Body"/>
    <w:basedOn w:val="a"/>
    <w:pPr>
      <w:spacing w:line="360" w:lineRule="auto" w:before="0" w:after="0"/>
      <w:ind w:firstLine="709" w:left="0" w:right="0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</w:rPr>
  </w:style>
  <w:style w:type="paragraph" w:customStyle="1" w:styleId="ReportTable">
    <w:name w:val="Report Table"/>
    <w:basedOn w:val="a"/>
    <w:pPr>
      <w:spacing w:line="240" w:lineRule="auto" w:before="0" w:after="0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ReportTableCaption">
    <w:name w:val="Report Table Caption"/>
    <w:basedOn w:val="a"/>
    <w:pPr>
      <w:spacing w:line="240" w:lineRule="auto" w:before="0" w:after="0"/>
      <w:ind w:firstLine="0" w:left="0" w:right="0"/>
      <w:jc w:val="left"/>
    </w:pPr>
    <w:rPr>
      <w:rFonts w:ascii="Times New Roman" w:hAnsi="Times New Roman" w:eastAsia="Times New Roman" w:cs="Times New Roman"/>
      <w:b w:val="0"/>
      <w:i/>
      <w:color w:val="000000"/>
      <w:sz w:val="24"/>
    </w:rPr>
  </w:style>
  <w:style w:type="paragraph" w:customStyle="1" w:styleId="ReportFigureCaption">
    <w:name w:val="Report Figure Caption"/>
    <w:basedOn w:val="a"/>
    <w:pPr>
      <w:spacing w:line="240" w:lineRule="auto" w:before="0" w:after="0"/>
      <w:ind w:firstLine="0" w:left="0" w:right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8"/>
    </w:rPr>
  </w:style>
  <w:style w:type="paragraph" w:customStyle="1" w:styleId="ReportCode">
    <w:name w:val="Report Code"/>
    <w:basedOn w:val="a"/>
    <w:pPr>
      <w:spacing w:line="240" w:lineRule="auto" w:before="0" w:after="0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27" Type="http://schemas.openxmlformats.org/officeDocument/2006/relationships/theme" Target="theme/theme1.xml"/><Relationship Id="rId28" Type="http://schemas.openxmlformats.org/officeDocument/2006/relationships/header" Target="header1.xml"/><Relationship Id="rId29" Type="http://schemas.openxmlformats.org/officeDocument/2006/relationships/header" Target="header2.xml"/><Relationship Id="rId30" Type="http://schemas.openxmlformats.org/officeDocument/2006/relationships/footer" Target="footer1.xml"/><Relationship Id="rId31" Type="http://schemas.openxmlformats.org/officeDocument/2006/relationships/footer" Target="footer2.xml"/><Relationship Id="rId6" Type="http://schemas.openxmlformats.org/officeDocument/2006/relationships/image" Target="media/image22.png"/><Relationship Id="rId7" Type="http://schemas.openxmlformats.org/officeDocument/2006/relationships/image" Target="media/image23.jpg"/><Relationship Id="rId8" Type="http://schemas.openxmlformats.org/officeDocument/2006/relationships/image" Target="media/image24.jpg"/><Relationship Id="rId9" Type="http://schemas.openxmlformats.org/officeDocument/2006/relationships/image" Target="media/image25.jpg"/><Relationship Id="rId10" Type="http://schemas.openxmlformats.org/officeDocument/2006/relationships/image" Target="media/image26.png"/><Relationship Id="rId11" Type="http://schemas.openxmlformats.org/officeDocument/2006/relationships/image" Target="media/image27.jpg"/><Relationship Id="rId12" Type="http://schemas.openxmlformats.org/officeDocument/2006/relationships/image" Target="media/image28.jpg"/><Relationship Id="rId13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№4</dc:title>
  <dc:subject/>
  <dc:creator>Албахтин И.В.</dc:creator>
  <cp:keywords/>
  <cp:lastModifiedBy>VeX EveryOne</cp:lastModifiedBy>
  <cp:revision>3</cp:revision>
  <cp:lastPrinted>2026-09-09T10:18:00Z</cp:lastPrinted>
  <dcterms:created xsi:type="dcterms:W3CDTF">2026-09-09T10:23:00Z</dcterms:created>
  <dcterms:modified xsi:type="dcterms:W3CDTF">2026-09-09T11:04:00Z</dcterms:modified>
</cp:coreProperties>
</file>