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2A2FAC" w:rsidRPr="00867FE9" w14:paraId="6B19BF8D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7AA87AC2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Times New Roman" w:ascii="Times New Roman" w:hAnsi="Times New Roman" w:cs="Times New Roman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ascii="Times New Roman" w:eastAsia="Times New Roman" w:hAnsi="Times New Roman" w:cs="Times New Roman"/>
                <w:iCs/>
                <w:noProof/>
                <w:sz w:val="24"/>
                <w14:ligatures w14:val="none"/>
              </w:rPr>
              <w:drawing>
                <wp:inline distT="0" distB="0" distL="0" distR="0" wp14:anchorId="216ADF78" wp14:editId="011FA199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A4E47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Times New Roman" w:ascii="Times New Roman" w:hAnsi="Times New Roman" w:cs="Times New Roman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Times New Roman" w:ascii="Times New Roman" w:hAnsi="Times New Roman" w:cs="Times New Roman"/>
                <w:caps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2DACB72A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55D6622F" w14:textId="77777777" w:rsidR="002A2FAC" w:rsidRPr="00867FE9" w:rsidRDefault="002A2FAC" w:rsidP="002A2FAC">
            <w:pPr>
              <w:widowControl w:val="0"/>
              <w:suppressAutoHyphens/>
              <w:spacing w:line="21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rFonts w:ascii="Times New Roman" w:eastAsia="Times New Roman" w:hAnsi="Times New Roman" w:cs="Times New Roman"/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rFonts w:ascii="Times New Roman" w:eastAsia="Times New Roman" w:hAnsi="Times New Roman" w:cs="Times New Roman"/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rFonts w:ascii="Times New Roman" w:eastAsia="Times New Roman" w:hAnsi="Times New Roman" w:cs="Times New Roman"/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rFonts w:ascii="Times New Roman" w:eastAsia="Times New Roman" w:hAnsi="Times New Roman" w:cs="Times New Roman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rFonts w:ascii="Times New Roman" w:eastAsia="Times New Roman" w:hAnsi="Times New Roman" w:cs="Times New Roman"/>
                <w:b/>
                <w:bCs/>
                <w:snapToGrid w:val="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rFonts w:ascii="Times New Roman" w:eastAsia="Times New Roman" w:hAnsi="Times New Roman" w:cs="Times New Roman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1C817686" w14:textId="77777777" w:rsidR="002A2FAC" w:rsidRPr="00867FE9" w:rsidRDefault="002A2FAC" w:rsidP="002A2FAC">
            <w:pPr>
              <w:widowControl w:val="0"/>
              <w:suppressAutoHyphens/>
              <w:ind w:left="0" w:firstLine="0"/>
              <w:jc w:val="center"/>
              <w:rPr>
                <w:rFonts w:eastAsia="Times New Roman" w:ascii="Times New Roman" w:hAnsi="Times New Roman" w:cs="Times New Roman"/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Times New Roman" w:cs="Times New Roman" w:ascii="Times New Roman" w:hAnsi="Times New Roman"/>
                <w:b/>
                <w:snapToGrid w:val="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rFonts w:eastAsia="Times New Roman" w:ascii="Times New Roman" w:hAnsi="Times New Roman" w:cs="Times New Roman"/>
                <w:b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rFonts w:eastAsia="Times New Roman" w:ascii="Times New Roman" w:hAnsi="Times New Roman" w:cs="Times New Roman"/>
                <w:b/>
                <w:iCs/>
                <w:noProof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0BD73EE2" wp14:editId="5B940AFD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5FBA0D8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Times New Roman" w:ascii="Times New Roman" w:hAnsi="Times New Roman" w:cs="Times New Roman"/>
          <w:iCs/>
          <w:szCs w:val="28"/>
          <w:lang w:eastAsia="zh-CN" w:bidi="hi-IN"/>
          <w14:ligatures w14:val="none"/>
        </w:rPr>
      </w:pPr>
      <w:r w:rsidRPr="00867FE9">
        <w:rPr>
          <w:rFonts w:eastAsia="Times New Roman" w:ascii="Times New Roman" w:hAnsi="Times New Roman" w:cs="Times New Roman"/>
          <w:b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31566F76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Times New Roman" w:ascii="Times New Roman" w:hAnsi="Times New Roman" w:cs="Times New Roman"/>
          <w:iCs/>
          <w:szCs w:val="28"/>
          <w:lang w:eastAsia="zh-CN" w:bidi="hi-IN"/>
          <w14:ligatures w14:val="none"/>
        </w:rPr>
      </w:pPr>
      <w:r w:rsidRPr="00867FE9">
        <w:rPr>
          <w:rFonts w:eastAsia="Times New Roman" w:ascii="Times New Roman" w:hAnsi="Times New Roman" w:cs="Times New Roman"/>
          <w:b/>
          <w:szCs w:val="28"/>
          <w:lang w:eastAsia="zh-CN" w:bidi="hi-IN"/>
          <w14:ligatures w14:val="none"/>
        </w:rPr>
        <w:t xml:space="preserve">Кафедра </w:t>
      </w:r>
      <w:r w:rsidRPr="00650B5D">
        <w:rPr>
          <w:rFonts w:eastAsia="Times New Roman" w:ascii="Times New Roman" w:hAnsi="Times New Roman" w:cs="Times New Roman"/>
          <w:b/>
          <w:szCs w:val="28"/>
          <w:lang w:eastAsia="zh-CN" w:bidi="hi-IN"/>
          <w14:ligatures w14:val="none"/>
        </w:rPr>
        <w:t>квантовых информационных технологий, практической и прикладной информатики</w:t>
      </w:r>
      <w:r w:rsidRPr="00867FE9">
        <w:rPr>
          <w:rFonts w:eastAsia="Times New Roman" w:ascii="Times New Roman" w:hAnsi="Times New Roman" w:cs="Times New Roman"/>
          <w:b/>
          <w:szCs w:val="28"/>
          <w:lang w:eastAsia="zh-CN" w:bidi="hi-IN"/>
          <w14:ligatures w14:val="none"/>
        </w:rPr>
        <w:t xml:space="preserve"> (</w:t>
      </w:r>
      <w:r>
        <w:rPr>
          <w:rFonts w:eastAsia="Times New Roman" w:ascii="Times New Roman" w:hAnsi="Times New Roman" w:cs="Times New Roman"/>
          <w:b/>
          <w:szCs w:val="28"/>
          <w:lang w:eastAsia="zh-CN" w:bidi="hi-IN"/>
          <w14:ligatures w14:val="none"/>
        </w:rPr>
        <w:t>ККИТПиПИ</w:t>
      </w:r>
      <w:r w:rsidRPr="00867FE9">
        <w:rPr>
          <w:rFonts w:eastAsia="Times New Roman" w:ascii="Times New Roman" w:hAnsi="Times New Roman" w:cs="Times New Roman"/>
          <w:b/>
          <w:szCs w:val="28"/>
          <w:lang w:eastAsia="zh-CN" w:bidi="hi-IN"/>
          <w14:ligatures w14:val="none"/>
        </w:rPr>
        <w:t>)</w:t>
      </w:r>
    </w:p>
    <w:p w14:paraId="5BFED868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Times New Roman" w:ascii="Times New Roman" w:hAnsi="Times New Roman" w:cs="Times New Roman"/>
          <w:b/>
          <w:iCs/>
          <w:sz w:val="24"/>
          <w:lang w:eastAsia="zh-CN" w:bidi="hi-IN"/>
          <w14:ligatures w14:val="none"/>
        </w:rPr>
      </w:pPr>
    </w:p>
    <w:p w14:paraId="5AC1061D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eastAsia="Times New Roman" w:ascii="Times New Roman" w:hAnsi="Times New Roman" w:cs="Times New Roman"/>
          <w:b/>
          <w:iCs/>
          <w:sz w:val="24"/>
          <w:lang w:eastAsia="zh-CN" w:bidi="hi-IN"/>
          <w14:ligatures w14:val="none"/>
        </w:rPr>
      </w:pPr>
    </w:p>
    <w:p w14:paraId="3A147BCC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Times New Roman" w:ascii="Times New Roman" w:hAnsi="Times New Roman" w:cs="Times New Roman"/>
          <w:b/>
          <w:iCs/>
          <w:sz w:val="32"/>
          <w:lang w:eastAsia="zh-CN" w:bidi="hi-IN"/>
          <w14:ligatures w14:val="none"/>
        </w:rPr>
      </w:pPr>
      <w:r w:rsidRPr="00867FE9">
        <w:rPr>
          <w:rFonts w:eastAsia="Times New Roman" w:ascii="Times New Roman" w:hAnsi="Times New Roman" w:cs="Times New Roman"/>
          <w:b/>
          <w:sz w:val="32"/>
          <w:lang w:eastAsia="zh-CN" w:bidi="hi-IN"/>
          <w14:ligatures w14:val="none"/>
        </w:rPr>
        <w:t>ОТЧЕТ ПО ПРАКТИЧЕСКОЙ РАБОТЕ № 2</w:t>
      </w:r>
    </w:p>
    <w:p w14:paraId="3EDE2537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Times New Roman" w:ascii="Times New Roman" w:hAnsi="Times New Roman" w:cs="Times New Roman"/>
          <w:b/>
          <w:iCs/>
          <w:szCs w:val="28"/>
          <w:lang w:eastAsia="zh-CN" w:bidi="hi-IN"/>
          <w14:ligatures w14:val="none"/>
        </w:rPr>
      </w:pPr>
      <w:r w:rsidRPr="00867FE9">
        <w:rPr>
          <w:rFonts w:eastAsia="Times New Roman" w:ascii="Times New Roman" w:hAnsi="Times New Roman" w:cs="Times New Roman"/>
          <w:szCs w:val="28"/>
          <w:lang w:eastAsia="zh-CN" w:bidi="hi-IN"/>
          <w14:ligatures w14:val="none"/>
        </w:rPr>
        <w:t>по дисциплине «</w:t>
      </w:r>
      <w:r w:rsidRPr="00650B5D">
        <w:rPr>
          <w:rFonts w:eastAsia="Times New Roman" w:ascii="Times New Roman" w:hAnsi="Times New Roman" w:cs="Times New Roman"/>
          <w:szCs w:val="28"/>
          <w:lang w:eastAsia="zh-CN" w:bidi="hi-IN"/>
          <w14:ligatures w14:val="none"/>
        </w:rPr>
        <w:t>Информационные системы управления ресурсами организации</w:t>
      </w:r>
      <w:r w:rsidRPr="00867FE9">
        <w:rPr>
          <w:rFonts w:eastAsia="Times New Roman" w:ascii="Times New Roman" w:hAnsi="Times New Roman" w:cs="Times New Roman"/>
          <w:szCs w:val="28"/>
          <w:lang w:eastAsia="zh-CN" w:bidi="hi-IN"/>
          <w14:ligatures w14:val="none"/>
        </w:rPr>
        <w:t>»</w:t>
      </w:r>
    </w:p>
    <w:p w14:paraId="6B467C3B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Times New Roman" w:ascii="Times New Roman" w:hAnsi="Times New Roman" w:cs="Times New Roman"/>
          <w:iCs/>
          <w:szCs w:val="28"/>
          <w:lang w:eastAsia="zh-CN" w:bidi="hi-IN"/>
          <w14:ligatures w14:val="none"/>
        </w:rPr>
      </w:pPr>
    </w:p>
    <w:p w14:paraId="0A18C7B1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Times New Roman" w:ascii="Times New Roman" w:hAnsi="Times New Roman" w:cs="Times New Roman"/>
          <w:iCs/>
          <w:szCs w:val="28"/>
          <w:lang w:eastAsia="zh-CN" w:bidi="hi-IN"/>
          <w14:ligatures w14:val="none"/>
        </w:rPr>
      </w:pPr>
    </w:p>
    <w:p w14:paraId="73B18646" w14:textId="77777777" w:rsidR="002A2FAC" w:rsidRPr="00867FE9" w:rsidRDefault="002A2FAC" w:rsidP="002A2FAC">
      <w:pPr>
        <w:widowControl w:val="0"/>
        <w:suppressAutoHyphens/>
        <w:ind w:left="0" w:firstLine="0"/>
        <w:rPr>
          <w:rFonts w:eastAsia="Times New Roman" w:ascii="Times New Roman" w:hAnsi="Times New Roman" w:cs="Times New Roman"/>
          <w:iCs/>
          <w:szCs w:val="28"/>
          <w:lang w:eastAsia="zh-CN" w:bidi="hi-IN"/>
          <w14:ligatures w14:val="none"/>
        </w:rPr>
      </w:pPr>
    </w:p>
    <w:p w14:paraId="7C791560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Times New Roman" w:ascii="Times New Roman" w:hAnsi="Times New Roman" w:cs="Times New Roman"/>
          <w:iCs/>
          <w:szCs w:val="28"/>
          <w:lang w:eastAsia="zh-CN" w:bidi="hi-IN"/>
          <w14:ligatures w14:val="none"/>
        </w:rPr>
      </w:pPr>
    </w:p>
    <w:tbl>
      <w:tblPr>
        <w:tblStyle w:val="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60B7E4D2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4C35FE15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867FE9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zh-CN" w:bidi="hi-IN"/>
              </w:rPr>
              <w:t/>
            </w:r>
          </w:p>
          <w:p w14:paraId="4E614F5C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62E4D33" w14:textId="3700B88C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zh-CN" w:bidi="hi-IN"/>
              </w:rPr>
            </w:pPr>
            <w:r w:rsidRPr="003E7A65"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  <w:t xml:space="preserve">ИНБО-12-23,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  <w:t>Албахтин И</w:t>
            </w:r>
            <w:r w:rsidRPr="003E7A65"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  <w:t>В.</w:t>
            </w:r>
          </w:p>
        </w:tc>
        <w:tc>
          <w:tcPr>
            <w:tcW w:w="1666" w:type="dxa"/>
            <w:gridSpan w:val="2"/>
          </w:tcPr>
          <w:p w14:paraId="395449A9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  <w:p w14:paraId="719AB1B5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sz w:val="18"/>
                <w:szCs w:val="18"/>
                <w:lang w:eastAsia="zh-CN" w:bidi="hi-IN"/>
              </w:rPr>
              <w:t>(подпись)</w:t>
            </w:r>
          </w:p>
          <w:p w14:paraId="56A05A5F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2A721D48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09D2453A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  <w:t>Преподаватель</w:t>
            </w:r>
          </w:p>
          <w:p w14:paraId="62B67BFD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DBF826A" w14:textId="77777777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zh-CN" w:bidi="hi-IN"/>
              </w:rPr>
            </w:pPr>
            <w:r w:rsidRPr="00657949"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  <w:t>Шендяпин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  <w:t xml:space="preserve"> А.В.</w:t>
            </w:r>
          </w:p>
          <w:p w14:paraId="06FAC666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D99D8C5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  <w:p w14:paraId="721DF3BA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  <w:p w14:paraId="021C1192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sz w:val="18"/>
                <w:szCs w:val="18"/>
                <w:lang w:eastAsia="zh-CN" w:bidi="hi-IN"/>
              </w:rPr>
              <w:t>(подпись)</w:t>
            </w:r>
          </w:p>
          <w:p w14:paraId="09DAD034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4EE62744" w14:textId="77777777" w:rsidTr="00FC2A5B">
        <w:tc>
          <w:tcPr>
            <w:tcW w:w="2547" w:type="dxa"/>
          </w:tcPr>
          <w:p w14:paraId="76DA1B13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284DA73F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4615D701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</w:tr>
    </w:tbl>
    <w:p w14:paraId="5802CB64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ascii="Times New Roman" w:eastAsia="Times New Roman" w:hAnsi="Times New Roman" w:cs="Times New Roman"/>
          <w:iCs/>
          <w:sz w:val="24"/>
          <w:szCs w:val="28"/>
          <w:lang w:eastAsia="zh-CN" w:bidi="hi-IN"/>
          <w14:ligatures w14:val="none"/>
        </w:rPr>
      </w:pPr>
    </w:p>
    <w:p w14:paraId="7E4195EA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Times New Roman" w:eastAsia="Times New Roman" w:hAnsi="Times New Roman" w:cs="Times New Roman"/>
          <w:iCs/>
          <w:sz w:val="24"/>
          <w:szCs w:val="28"/>
          <w:lang w:eastAsia="zh-CN" w:bidi="hi-IN"/>
          <w14:ligatures w14:val="none"/>
        </w:rPr>
      </w:pPr>
    </w:p>
    <w:p w14:paraId="35212300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Times New Roman" w:eastAsia="Times New Roman" w:hAnsi="Times New Roman" w:cs="Times New Roman"/>
          <w:iCs/>
          <w:sz w:val="24"/>
          <w:szCs w:val="28"/>
          <w:lang w:eastAsia="zh-CN" w:bidi="hi-IN"/>
          <w14:ligatures w14:val="none"/>
        </w:rPr>
      </w:pPr>
    </w:p>
    <w:p w14:paraId="3A4D719C" w14:textId="2CA860B9" w:rsidR="004651E5" w:rsidRPr="002A2FAC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Times New Roman" w:eastAsia="Times New Roman" w:hAnsi="Times New Roman" w:cs="Times New Roman"/>
          <w:iCs/>
          <w:sz w:val="24"/>
          <w:szCs w:val="28"/>
          <w:lang w:eastAsia="zh-CN" w:bidi="hi-IN"/>
          <w14:ligatures w14:val="none"/>
        </w:rPr>
        <w:sectPr w:rsidR="004651E5" w:rsidRPr="002A2FAC" w:rsidSect="002A2FAC">
          <w:footerReference w:type="default" r:id="rId29"/>
          <w:pgSz w:w="11906" w:h="16838"/>
          <w:pgMar w:top="1134" w:right="850" w:bottom="1134" w:left="1701" w:header="567" w:footer="567" w:gutter="0"/>
          <w:cols w:space="720"/>
          <w:docGrid w:linePitch="381"/>
        </w:sectPr>
      </w:pPr>
      <w:r w:rsidRPr="00867FE9">
        <w:rPr>
          <w:rFonts w:ascii="Times New Roman" w:eastAsia="Times New Roman" w:hAnsi="Times New Roman" w:cs="Times New Roman"/>
          <w:sz w:val="24"/>
          <w:szCs w:val="28"/>
          <w:lang w:eastAsia="zh-CN" w:bidi="hi-IN"/>
          <w14:ligatures w14:val="none"/>
        </w:rPr>
        <w:t>Москва 2026 г.</w:t>
      </w:r>
    </w:p>
    <w:p>
      <w:pPr>
        <w:pStyle w:val="1"/>
      </w:pPr>
      <w:r>
        <w:t>Задание</w:t>
      </w:r>
    </w:p>
    <w:p>
      <w:pPr>
        <w:pStyle w:val="Основнойтекстотчёта"/>
      </w:pPr>
      <w:r>
        <w:t>1. Изучить учебное пособие: глава 4, пункты 3 и 4 — расчёты с подотчётными лицами и учёт денежных документов.</w:t>
      </w:r>
    </w:p>
    <w:p>
      <w:pPr>
        <w:pStyle w:val="Основнойтекстотчёта"/>
      </w:pPr>
      <w:r>
        <w:t>2. Отразить выдачу Петрову Семену Васильевичу из кассы организации «Мебель-Комплект» 6 000 руб. Из выданной суммы 60 руб. направлены на приобретение материалов, 5 000 руб. — на предоплату поставщику «Вега-транс». Остаток 940 руб. возвращён в кассу.</w:t>
      </w:r>
    </w:p>
    <w:p>
      <w:pPr>
        <w:pStyle w:val="Основнойтекстотчёта"/>
      </w:pPr>
      <w:r>
        <w:t>2.1. Создать расходный кассовый ордер от 22 января с операцией «Выдача подотчетнику». Получатель — Петров Семен Васильевич, подразделение — Отдел закупок, сумма — 6 000 руб. Срок отчёта — 29 января. Статья ДДС — «Выдача ДС подотчетному лицу (прочие цели)».</w:t>
      </w:r>
    </w:p>
    <w:p>
      <w:pPr>
        <w:pStyle w:val="Основнойтекстотчёта"/>
      </w:pPr>
      <w:r>
        <w:t>2.2. Создать документ «Приобретение товаров и услуг» от 25 января с операцией «Закупка через подотчетное лицо». Организация — «Мебель-Комплект», склад — «Склад материалов», валюта — RUB. Подотчётное лицо — Петров Семен Васильевич, подразделение — Отдел закупок. Приобретаемые материалы приведены в таблице 1.</w:t>
      </w:r>
    </w:p>
    <w:p>
      <w:pPr>
        <w:pStyle w:val="Подписьтаблицы"/>
      </w:pPr>
      <w:r>
        <w:t>Таблица 1 – Приобретаемые материалы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252"/>
        <w:gridCol w:w="1701"/>
        <w:gridCol w:w="1701"/>
        <w:gridCol w:w="1701"/>
      </w:tblGrid>
      <w:tr>
        <w:trPr>
          <w:cantSplit/>
          <w:tblHeader/>
        </w:trPr>
        <w:tc>
          <w:tcPr>
            <w:tcW w:type="dxa" w:w="4252"/>
            <w:shd w:fill="FFFFFF" w:val="clear"/>
          </w:tcPr>
          <w:p>
            <w:pPr>
              <w:pStyle w:val="Тексттаблицы"/>
            </w:pPr>
            <w:r>
              <w:rPr>
                <w:b/>
              </w:rPr>
              <w:t>Номенклатура</w:t>
            </w:r>
          </w:p>
        </w:tc>
        <w:tc>
          <w:tcPr>
            <w:tcW w:type="dxa" w:w="1701"/>
            <w:shd w:fill="FFFFFF" w:val="clear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Количество</w:t>
            </w:r>
          </w:p>
        </w:tc>
        <w:tc>
          <w:tcPr>
            <w:tcW w:type="dxa" w:w="1701"/>
            <w:shd w:fill="FFFFFF" w:val="clear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Цена, руб.</w:t>
            </w:r>
          </w:p>
        </w:tc>
        <w:tc>
          <w:tcPr>
            <w:tcW w:type="dxa" w:w="1701"/>
            <w:shd w:fill="FFFFFF" w:val="clear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Сумма, руб.</w:t>
            </w:r>
          </w:p>
        </w:tc>
      </w:tr>
      <w:tr>
        <w:trPr>
          <w:cantSplit/>
        </w:trPr>
        <w:tc>
          <w:tcPr>
            <w:tcW w:type="dxa" w:w="4252"/>
            <w:shd w:fill="FFFFFF" w:val="clear"/>
          </w:tcPr>
          <w:p>
            <w:pPr>
              <w:pStyle w:val="Тексттаблицы"/>
            </w:pPr>
            <w:r>
              <w:rPr>
                <w:b w:val="0"/>
              </w:rPr>
              <w:t>Шуруп 4.5*40.0</w:t>
            </w:r>
          </w:p>
        </w:tc>
        <w:tc>
          <w:tcPr>
            <w:tcW w:type="dxa" w:w="1701"/>
            <w:shd w:fill="FFFFFF" w:val="clear"/>
          </w:tcPr>
          <w:p>
            <w:pPr>
              <w:pStyle w:val="Тексттаблицы"/>
              <w:jc w:val="center"/>
            </w:pPr>
            <w:r>
              <w:rPr>
                <w:b w:val="0"/>
              </w:rPr>
              <w:t>100 шт.</w:t>
            </w:r>
          </w:p>
        </w:tc>
        <w:tc>
          <w:tcPr>
            <w:tcW w:type="dxa" w:w="1701"/>
            <w:shd w:fill="FFFFFF" w:val="clear"/>
          </w:tcPr>
          <w:p>
            <w:pPr>
              <w:pStyle w:val="Тексттаблицы"/>
              <w:jc w:val="center"/>
            </w:pPr>
            <w:r>
              <w:rPr>
                <w:b w:val="0"/>
              </w:rPr>
              <w:t>0,60</w:t>
            </w:r>
          </w:p>
        </w:tc>
        <w:tc>
          <w:tcPr>
            <w:tcW w:type="dxa" w:w="1701"/>
            <w:shd w:fill="FFFFFF" w:val="clear"/>
          </w:tcPr>
          <w:p>
            <w:pPr>
              <w:pStyle w:val="Тексттаблицы"/>
              <w:jc w:val="center"/>
            </w:pPr>
            <w:r>
              <w:rPr>
                <w:b w:val="0"/>
              </w:rPr>
              <w:t>60,00</w:t>
            </w:r>
          </w:p>
        </w:tc>
      </w:tr>
    </w:tbl>
    <w:p>
      <w:pPr>
        <w:pStyle w:val="Основнойтекстотчёта"/>
      </w:pPr>
      <w:r>
        <w:t>2.3. Создать авансовый отчёт от 25 января по Петрову С. В., подразделение — Отдел закупок. На вкладке «Оплата поставщикам» указать поставщика и контрагента «Вега-транс», сумму 5 000 руб. Объект расчётов — документ «Приобретение услуг и прочих активов» от 31 января, 23:59:59.</w:t>
      </w:r>
    </w:p>
    <w:p>
      <w:pPr>
        <w:pStyle w:val="Основнойтекстотчёта"/>
      </w:pPr>
      <w:r>
        <w:t>2.4. Создать приходный кассовый ордер от 30 января с операцией «Возврат от подотчетника» на 940 руб. Подотчётное лицо — Петров Семен Васильевич, подразделение — Отдел закупок. Статья ДДС — «Возврат денежных средств от подотчетника».</w:t>
      </w:r>
    </w:p>
    <w:p>
      <w:pPr>
        <w:pStyle w:val="Основнойтекстотчёта"/>
      </w:pPr>
      <w:r>
        <w:t>Все документы отразить в регламентированном учёте и проверить сформированные проводки.</w:t>
      </w:r>
    </w:p>
    <w:p>
      <w:pPr>
        <w:pStyle w:val="Основнойтекстотчёта"/>
      </w:pPr>
      <w:r>
        <w:t>3. Отразить покупку у поставщика «Вега-транс» авиабилета Москва – Санкт-Петербург стоимостью 3 500 руб., его выдачу Петрову С. В. и списание стоимости использованного билета на расходы организации.</w:t>
      </w:r>
    </w:p>
    <w:p>
      <w:pPr>
        <w:pStyle w:val="Основнойтекстотчёта"/>
      </w:pPr>
      <w:r>
        <w:t>3.1. Создать документ «Поступление денежных документов» от 30 января с операцией «Поступление от поставщика». Организация — «Мебель-Комплект», поставщик и контрагент — «Вега-транс». Материально ответственное лицо — Кострова Вера Борисовна, подразделение — Бухгалтерия. Валюта документа и взаиморасчётов — RUB, дата платежа — 30 января. Состав поступления указан в таблице 2.</w:t>
      </w:r>
    </w:p>
    <w:p>
      <w:pPr>
        <w:pStyle w:val="Подписьтаблицы"/>
      </w:pPr>
      <w:r>
        <w:t>Таблица 2 – Поступление денежного документа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252"/>
        <w:gridCol w:w="1701"/>
        <w:gridCol w:w="1701"/>
        <w:gridCol w:w="1701"/>
      </w:tblGrid>
      <w:tr>
        <w:trPr>
          <w:cantSplit/>
          <w:tblHeader/>
        </w:trPr>
        <w:tc>
          <w:tcPr>
            <w:tcW w:type="dxa" w:w="4252"/>
            <w:shd w:fill="FFFFFF" w:val="clear"/>
          </w:tcPr>
          <w:p>
            <w:pPr>
              <w:pStyle w:val="Тексттаблицы"/>
            </w:pPr>
            <w:r>
              <w:rPr>
                <w:b/>
              </w:rPr>
              <w:t>Денежный документ</w:t>
            </w:r>
          </w:p>
        </w:tc>
        <w:tc>
          <w:tcPr>
            <w:tcW w:type="dxa" w:w="1701"/>
            <w:shd w:fill="FFFFFF" w:val="clear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Количество</w:t>
            </w:r>
          </w:p>
        </w:tc>
        <w:tc>
          <w:tcPr>
            <w:tcW w:type="dxa" w:w="1701"/>
            <w:shd w:fill="FFFFFF" w:val="clear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Цена, руб.</w:t>
            </w:r>
          </w:p>
        </w:tc>
        <w:tc>
          <w:tcPr>
            <w:tcW w:type="dxa" w:w="1701"/>
            <w:shd w:fill="FFFFFF" w:val="clear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Сумма, руб.</w:t>
            </w:r>
          </w:p>
        </w:tc>
      </w:tr>
      <w:tr>
        <w:trPr>
          <w:cantSplit/>
        </w:trPr>
        <w:tc>
          <w:tcPr>
            <w:tcW w:type="dxa" w:w="4252"/>
            <w:shd w:fill="FFFFFF" w:val="clear"/>
          </w:tcPr>
          <w:p>
            <w:pPr>
              <w:pStyle w:val="Тексттаблицы"/>
            </w:pPr>
            <w:r>
              <w:rPr>
                <w:b w:val="0"/>
              </w:rPr>
              <w:t>Авиабилет Москва – Санкт-Петербург</w:t>
            </w:r>
          </w:p>
        </w:tc>
        <w:tc>
          <w:tcPr>
            <w:tcW w:type="dxa" w:w="1701"/>
            <w:shd w:fill="FFFFFF" w:val="clear"/>
          </w:tcPr>
          <w:p>
            <w:pPr>
              <w:pStyle w:val="Тексттаблицы"/>
              <w:jc w:val="center"/>
            </w:pPr>
            <w:r>
              <w:rPr>
                <w:b w:val="0"/>
              </w:rPr>
              <w:t>1 шт.</w:t>
            </w:r>
          </w:p>
        </w:tc>
        <w:tc>
          <w:tcPr>
            <w:tcW w:type="dxa" w:w="1701"/>
            <w:shd w:fill="FFFFFF" w:val="clear"/>
          </w:tcPr>
          <w:p>
            <w:pPr>
              <w:pStyle w:val="Тексттаблицы"/>
              <w:jc w:val="center"/>
            </w:pPr>
            <w:r>
              <w:rPr>
                <w:b w:val="0"/>
              </w:rPr>
              <w:t>3 500,00</w:t>
            </w:r>
          </w:p>
        </w:tc>
        <w:tc>
          <w:tcPr>
            <w:tcW w:type="dxa" w:w="1701"/>
            <w:shd w:fill="FFFFFF" w:val="clear"/>
          </w:tcPr>
          <w:p>
            <w:pPr>
              <w:pStyle w:val="Тексттаблицы"/>
              <w:jc w:val="center"/>
            </w:pPr>
            <w:r>
              <w:rPr>
                <w:b w:val="0"/>
              </w:rPr>
              <w:t>3 500,00</w:t>
            </w:r>
          </w:p>
        </w:tc>
      </w:tr>
    </w:tbl>
    <w:p>
      <w:pPr>
        <w:pStyle w:val="Основнойтекстотчёта"/>
      </w:pPr>
      <w:r>
        <w:t>3.2. Создать документ «Выбытие денежных документов» от 30 января с операцией «Выдача подотчетному лицу». Передающая сторона — Кострова Вера Борисовна, Бухгалтерия; получатель — Петров Семен Васильевич, Отдел закупок. Выдать один авиабилет стоимостью 3 500 руб. Срок отчёта — 6 февраля.</w:t>
      </w:r>
    </w:p>
    <w:p>
      <w:pPr>
        <w:pStyle w:val="Основнойтекстотчёта"/>
      </w:pPr>
      <w:r>
        <w:t>3.3. Создать авансовый отчёт от 31 января по Петрову С. В. На вкладке «Расходы» указать 3 500 руб., статью «Прочие расходы (прочие операц.)», аналитику и подразделение «Отдел закупок», контрагента «Вега-транс». Ставка НДС по условию — 20 %, сумма НДС — 583,33 руб.</w:t>
      </w:r>
    </w:p>
    <w:p>
      <w:pPr>
        <w:pStyle w:val="Основнойтекстотчёта"/>
      </w:pPr>
      <w:r>
        <w:t>Документы по авиабилету отразить в регламентированном учёте и проверить проводки.</w:t>
      </w:r>
    </w:p>
    <w:p>
      <w:pPr>
        <w:pStyle w:val="Основнойтекстотчёта"/>
      </w:pPr>
      <w:r>
        <w:t>4. Сформировать отчёт о выполненной работе со скриншотами заполненной конфигурации.</w:t>
      </w:r>
    </w:p>
    <w:p>
      <w:r>
        <w:br w:type="page"/>
      </w:r>
    </w:p>
    <w:p>
      <w:pPr>
        <w:pStyle w:val="1"/>
      </w:pPr>
      <w:r>
        <w:t>Ход работы</w:t>
      </w:r>
    </w:p>
    <w:p>
      <w:pPr>
        <w:pStyle w:val="Основнойтекстотчёта"/>
      </w:pPr>
      <w:r>
        <w:t>Работа выполнена в учебной базе «1С:ERP Управление предприятием 2» за январь 2026 года. Использована организация ООО «Мебель-Комплект» – Албахтин и её касса «Касса». Документы заполнены через пользовательский интерфейс, проведены и отражены в регламентированном учёте.</w:t>
      </w:r>
    </w:p>
    <w:p>
      <w:pPr>
        <w:pStyle w:val="Heading2"/>
      </w:pPr>
      <w:r>
        <w:t>1 Подготовка справочников</w:t>
      </w:r>
    </w:p>
    <w:p>
      <w:pPr>
        <w:pStyle w:val="Основнойтекстотчёта"/>
      </w:pPr>
      <w:r>
        <w:t>Для расчётов под отчёт создано физическое лицо Петров Семен Васильевич и подразделение «Отдел закупок» (рисунки 1 и 2). Для операций с авиабилетом также добавлены Кострова Вера Борисовна и подразделение «Бухгалтерия».</w:t>
      </w:r>
    </w:p>
    <w:p>
      <w:pPr>
        <w:pStyle w:val="Иллюстрация"/>
      </w:pPr>
      <w:r>
        <w:drawing>
          <wp:inline xmlns:a="http://schemas.openxmlformats.org/drawingml/2006/main" xmlns:pic="http://schemas.openxmlformats.org/drawingml/2006/picture">
            <wp:extent cx="5940000" cy="3002400"/>
            <wp:docPr id="298370852" name="Picture 298370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1 – Заполнение карточки Петрова С. В.</w:t>
      </w:r>
    </w:p>
    <w:p>
      <w:pPr>
        <w:pStyle w:val="Иллюстрация"/>
      </w:pPr>
      <w:r>
        <w:drawing>
          <wp:inline xmlns:a="http://schemas.openxmlformats.org/drawingml/2006/main" xmlns:pic="http://schemas.openxmlformats.org/drawingml/2006/picture">
            <wp:extent cx="5940000" cy="2215959"/>
            <wp:docPr id="298370853" name="Picture 298370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15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2 – Создание подразделения «Отдел закупок»</w:t>
      </w:r>
    </w:p>
    <w:p>
      <w:pPr>
        <w:pStyle w:val="Heading2"/>
      </w:pPr>
      <w:r>
        <w:t>2 Выдача денежных средств под отчёт</w:t>
      </w:r>
    </w:p>
    <w:p>
      <w:pPr>
        <w:pStyle w:val="Основнойтекстотчёта"/>
      </w:pPr>
      <w:r>
        <w:t>22.01.2026 оформлен расходный кассовый ордер № 0000-000002 на 6 000 руб. Получатель — Петров С. В.; срок отчёта — 29.01.2026. Реквизиты и статья ДДС показаны на рисунках 3 и 4.</w:t>
      </w:r>
    </w:p>
    <w:p>
      <w:pPr>
        <w:pStyle w:val="Иллюстрация"/>
      </w:pPr>
      <w:r>
        <w:drawing>
          <wp:inline xmlns:a="http://schemas.openxmlformats.org/drawingml/2006/main" xmlns:pic="http://schemas.openxmlformats.org/drawingml/2006/picture">
            <wp:extent cx="5940000" cy="1499607"/>
            <wp:docPr id="298370854" name="Picture 2983708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99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3 – Расходный кассовый ордер на 6 000 рублей</w:t>
      </w:r>
    </w:p>
    <w:p>
      <w:pPr>
        <w:pStyle w:val="Иллюстрация"/>
      </w:pPr>
      <w:r>
        <w:drawing>
          <wp:inline xmlns:a="http://schemas.openxmlformats.org/drawingml/2006/main" xmlns:pic="http://schemas.openxmlformats.org/drawingml/2006/picture">
            <wp:extent cx="5940000" cy="1854104"/>
            <wp:docPr id="298370855" name="Picture 2983708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54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4 – Статья ДДС расходного кассового ордера</w:t>
      </w:r>
    </w:p>
    <w:p>
      <w:pPr>
        <w:pStyle w:val="Основнойтекстотчёта"/>
      </w:pPr>
      <w:r>
        <w:t>После отражения в учёте сформирована проводка Дт 71.01 Кт 50.01 на 6 000 руб. (рисунок 5). Она показывает выдачу наличных под отчёт.</w:t>
      </w:r>
    </w:p>
    <w:p>
      <w:pPr>
        <w:pStyle w:val="Иллюстрация"/>
      </w:pPr>
      <w:r>
        <w:drawing>
          <wp:inline xmlns:a="http://schemas.openxmlformats.org/drawingml/2006/main" xmlns:pic="http://schemas.openxmlformats.org/drawingml/2006/picture">
            <wp:extent cx="5940000" cy="1434427"/>
            <wp:docPr id="298370856" name="Picture 2983708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34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5 – Проводка выдачи денежных средств</w:t>
      </w:r>
    </w:p>
    <w:p>
      <w:pPr>
        <w:pStyle w:val="Heading2"/>
      </w:pPr>
      <w:r>
        <w:t>3 Приобретение материалов через подотчётное лицо</w:t>
      </w:r>
    </w:p>
    <w:p>
      <w:pPr>
        <w:pStyle w:val="Основнойтекстотчёта"/>
      </w:pPr>
      <w:r>
        <w:t>Созданы «Склад материалов», вид номенклатуры «Материалы основные» и номенклатура «Шуруп 4.5*40.0» с единицей измерения «шт» и ставкой «Без НДС» (рисунки 6–8).</w:t>
      </w:r>
    </w:p>
    <w:p>
      <w:pPr>
        <w:pStyle w:val="Иллюстрация"/>
      </w:pPr>
      <w:r>
        <w:drawing>
          <wp:inline xmlns:a="http://schemas.openxmlformats.org/drawingml/2006/main" xmlns:pic="http://schemas.openxmlformats.org/drawingml/2006/picture">
            <wp:extent cx="5940000" cy="2293291"/>
            <wp:docPr id="298370857" name="Picture 2983708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93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6 – Карточка склада материалов</w:t>
      </w:r>
    </w:p>
    <w:p>
      <w:pPr>
        <w:pStyle w:val="Иллюстрация"/>
      </w:pPr>
      <w:r>
        <w:drawing>
          <wp:inline xmlns:a="http://schemas.openxmlformats.org/drawingml/2006/main" xmlns:pic="http://schemas.openxmlformats.org/drawingml/2006/picture">
            <wp:extent cx="5940000" cy="3889645"/>
            <wp:docPr id="298370858" name="Picture 2983708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7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89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7 – Создание вида номенклатуры</w:t>
      </w:r>
    </w:p>
    <w:p>
      <w:pPr>
        <w:pStyle w:val="Иллюстрация"/>
      </w:pPr>
      <w:r>
        <w:drawing>
          <wp:inline xmlns:a="http://schemas.openxmlformats.org/drawingml/2006/main" xmlns:pic="http://schemas.openxmlformats.org/drawingml/2006/picture">
            <wp:extent cx="5940000" cy="2938516"/>
            <wp:docPr id="298370859" name="Picture 2983708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8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38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8 – Номенклатура «Шуруп 4.5*40.0»</w:t>
      </w:r>
    </w:p>
    <w:p>
      <w:pPr>
        <w:pStyle w:val="Основнойтекстотчёта"/>
      </w:pPr>
      <w:r>
        <w:t>25.01.2026 оформлено приобретение товаров и услуг № 0000-000001 с операцией «Закупка через подотчетное лицо». Указаны Петров С. В. и поставщик «Вега-транс»; в табличную часть внесены 100 шурупов по 0,60 руб. на общую сумму 60 руб. (рисунки 9 и 10).</w:t>
      </w:r>
    </w:p>
    <w:p>
      <w:pPr>
        <w:pStyle w:val="Иллюстрация"/>
      </w:pPr>
      <w:r>
        <w:drawing>
          <wp:inline xmlns:a="http://schemas.openxmlformats.org/drawingml/2006/main" xmlns:pic="http://schemas.openxmlformats.org/drawingml/2006/picture">
            <wp:extent cx="5940000" cy="1833333"/>
            <wp:docPr id="298370860" name="Picture 2983708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9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3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9 – Основные реквизиты закупки через подотчётное лицо</w:t>
      </w:r>
    </w:p>
    <w:p>
      <w:pPr>
        <w:pStyle w:val="Иллюстрация"/>
      </w:pPr>
      <w:r>
        <w:drawing>
          <wp:inline xmlns:a="http://schemas.openxmlformats.org/drawingml/2006/main" xmlns:pic="http://schemas.openxmlformats.org/drawingml/2006/picture">
            <wp:extent cx="5940000" cy="1140186"/>
            <wp:docPr id="298370861" name="Picture 2983708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0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40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10 – Товары в документе приобретения</w:t>
      </w:r>
    </w:p>
    <w:p>
      <w:pPr>
        <w:pStyle w:val="Основнойтекстотчёта"/>
      </w:pPr>
      <w:r>
        <w:t>На вкладке «Дополнительно» выбрано подразделение «Отдел закупок» (рисунок 11). В регламентированном учёте отражено поступление 100 шт. материалов: Дт 10.01 Кт 71.01 — 60 руб. (рисунок 12).</w:t>
      </w:r>
    </w:p>
    <w:p>
      <w:pPr>
        <w:pStyle w:val="Иллюстрация"/>
      </w:pPr>
      <w:r>
        <w:drawing>
          <wp:inline xmlns:a="http://schemas.openxmlformats.org/drawingml/2006/main" xmlns:pic="http://schemas.openxmlformats.org/drawingml/2006/picture">
            <wp:extent cx="5940000" cy="2322222"/>
            <wp:docPr id="298370862" name="Picture 2983708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22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11 – Подразделение в документе приобретения</w:t>
      </w:r>
    </w:p>
    <w:p>
      <w:pPr>
        <w:pStyle w:val="Иллюстрация"/>
      </w:pPr>
      <w:r>
        <w:drawing>
          <wp:inline xmlns:a="http://schemas.openxmlformats.org/drawingml/2006/main" xmlns:pic="http://schemas.openxmlformats.org/drawingml/2006/picture">
            <wp:extent cx="5940000" cy="1434427"/>
            <wp:docPr id="298370863" name="Picture 2983708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34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12 – Проводка поступления материалов</w:t>
      </w:r>
    </w:p>
    <w:p>
      <w:pPr>
        <w:pStyle w:val="Heading2"/>
      </w:pPr>
      <w:r>
        <w:t>4 Предоплата поставщику через подотчётное лицо</w:t>
      </w:r>
    </w:p>
    <w:p>
      <w:pPr>
        <w:pStyle w:val="Основнойтекстотчёта"/>
      </w:pPr>
      <w:r>
        <w:t>Для выбора объекта расчётов создан документ «Приобретение услуг и прочих активов» № 0000-000001 от 31.01.2026 23:59:59 на 5 000 руб. без НДС. В нём указаны услуги связи и подразделение «Отдел закупок» (рисунок 13). Проводка документа — Дт 26 Кт 60.01 на 5 000 руб. (рисунок 14).</w:t>
      </w:r>
    </w:p>
    <w:p>
      <w:pPr>
        <w:pStyle w:val="Иллюстрация"/>
      </w:pPr>
      <w:r>
        <w:drawing>
          <wp:inline xmlns:a="http://schemas.openxmlformats.org/drawingml/2006/main" xmlns:pic="http://schemas.openxmlformats.org/drawingml/2006/picture">
            <wp:extent cx="5940000" cy="1158576"/>
            <wp:docPr id="298370864" name="Picture 2983708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58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13 – Заполнение документа услуг на 5 000 рублей</w:t>
      </w:r>
    </w:p>
    <w:p>
      <w:pPr>
        <w:pStyle w:val="Иллюстрация"/>
      </w:pPr>
      <w:r>
        <w:drawing>
          <wp:inline xmlns:a="http://schemas.openxmlformats.org/drawingml/2006/main" xmlns:pic="http://schemas.openxmlformats.org/drawingml/2006/picture">
            <wp:extent cx="5940000" cy="1434427"/>
            <wp:docPr id="298370865" name="Picture 2983708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4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34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14 – Проводка документа услуг</w:t>
      </w:r>
    </w:p>
    <w:p>
      <w:pPr>
        <w:pStyle w:val="Основнойтекстотчёта"/>
      </w:pPr>
      <w:r>
        <w:t>В авансовом отчёте № 0000-000001 от 25.01.2026 заполнена вкладка «Оплата поставщикам»: «Вега-транс», 5 000 руб. и созданный документ услуг в качестве объекта расчётов (рисунок 15). Основные реквизиты отчёта приведены на рисунке 16.</w:t>
      </w:r>
    </w:p>
    <w:p>
      <w:pPr>
        <w:pStyle w:val="Иллюстрация"/>
      </w:pPr>
      <w:r>
        <w:drawing>
          <wp:inline xmlns:a="http://schemas.openxmlformats.org/drawingml/2006/main" xmlns:pic="http://schemas.openxmlformats.org/drawingml/2006/picture">
            <wp:extent cx="5940000" cy="1416037"/>
            <wp:docPr id="298370866" name="Picture 2983708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16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15 – Оплата поставщику в авансовом отчёте</w:t>
      </w:r>
    </w:p>
    <w:p>
      <w:pPr>
        <w:pStyle w:val="Иллюстрация"/>
      </w:pPr>
      <w:r>
        <w:drawing>
          <wp:inline xmlns:a="http://schemas.openxmlformats.org/drawingml/2006/main" xmlns:pic="http://schemas.openxmlformats.org/drawingml/2006/picture">
            <wp:extent cx="5940000" cy="2119559"/>
            <wp:docPr id="298370867" name="Picture 2983708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19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16 – Основные реквизиты авансового отчёта от 25 января</w:t>
      </w:r>
    </w:p>
    <w:p>
      <w:pPr>
        <w:pStyle w:val="Основнойтекстотчёта"/>
      </w:pPr>
      <w:r>
        <w:t>Предоплата поставщику отражена проводкой Дт 60.02 Кт 71.01 на 5 000 руб. (рисунок 17). Покупка материалов на 60 руб. учтена отдельным документом приобретения.</w:t>
      </w:r>
    </w:p>
    <w:p>
      <w:pPr>
        <w:pStyle w:val="Иллюстрация"/>
      </w:pPr>
      <w:r>
        <w:drawing>
          <wp:inline xmlns:a="http://schemas.openxmlformats.org/drawingml/2006/main" xmlns:pic="http://schemas.openxmlformats.org/drawingml/2006/picture">
            <wp:extent cx="5940000" cy="1434427"/>
            <wp:docPr id="298370868" name="Picture 2983708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7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34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17 – Проводка предоплаты поставщику</w:t>
      </w:r>
    </w:p>
    <w:p>
      <w:pPr>
        <w:pStyle w:val="Heading2"/>
      </w:pPr>
      <w:r>
        <w:t>5 Возврат остатка денежных средств</w:t>
      </w:r>
    </w:p>
    <w:p>
      <w:pPr>
        <w:pStyle w:val="Основнойтекстотчёта"/>
      </w:pPr>
      <w:r>
        <w:t>30.01.2026 оформлен приходный кассовый ордер № 0000-000002 с операцией «Возврат от подотчетника». Петров С. В. вернул 940 руб. (рисунок 18). Проводка Дт 50.01 Кт 71.01 подтверждает поступление остатка в кассу (рисунок 19).</w:t>
      </w:r>
    </w:p>
    <w:p>
      <w:pPr>
        <w:pStyle w:val="Иллюстрация"/>
      </w:pPr>
      <w:r>
        <w:drawing>
          <wp:inline xmlns:a="http://schemas.openxmlformats.org/drawingml/2006/main" xmlns:pic="http://schemas.openxmlformats.org/drawingml/2006/picture">
            <wp:extent cx="5940000" cy="1382754"/>
            <wp:docPr id="298370869" name="Picture 2983708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82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18 – Возврат 940 рублей от подотчётного лица</w:t>
      </w:r>
    </w:p>
    <w:p>
      <w:pPr>
        <w:pStyle w:val="Иллюстрация"/>
      </w:pPr>
      <w:r>
        <w:drawing>
          <wp:inline xmlns:a="http://schemas.openxmlformats.org/drawingml/2006/main" xmlns:pic="http://schemas.openxmlformats.org/drawingml/2006/picture">
            <wp:extent cx="5940000" cy="1434427"/>
            <wp:docPr id="298370870" name="Picture 2983708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9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34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19 – Проводка возврата денежных средств</w:t>
      </w:r>
    </w:p>
    <w:p>
      <w:pPr>
        <w:pStyle w:val="Heading2"/>
      </w:pPr>
      <w:r>
        <w:t>6 Поступление авиабилета</w:t>
      </w:r>
    </w:p>
    <w:p>
      <w:pPr>
        <w:pStyle w:val="Основнойтекстотчёта"/>
      </w:pPr>
      <w:r>
        <w:t>30.01.2026 в 13:00 оформлено поступление денежных документов № 0000-000001 от поставщика «Вега-транс». МОЛ — Кострова В. Б., подразделение — Бухгалтерия, дата платежа — 30.01.2026 (рисунок 20). Принят один авиабилет Москва – Санкт-Петербург стоимостью 3 500 руб. (рисунок 21).</w:t>
      </w:r>
    </w:p>
    <w:p>
      <w:pPr>
        <w:pStyle w:val="Иллюстрация"/>
      </w:pPr>
      <w:r>
        <w:drawing>
          <wp:inline xmlns:a="http://schemas.openxmlformats.org/drawingml/2006/main" xmlns:pic="http://schemas.openxmlformats.org/drawingml/2006/picture">
            <wp:extent cx="5940000" cy="1857600"/>
            <wp:docPr id="298370871" name="Picture 2983708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0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20 – Реквизиты поступления денежного документа</w:t>
      </w:r>
    </w:p>
    <w:p>
      <w:pPr>
        <w:pStyle w:val="Иллюстрация"/>
      </w:pPr>
      <w:r>
        <w:drawing>
          <wp:inline xmlns:a="http://schemas.openxmlformats.org/drawingml/2006/main" xmlns:pic="http://schemas.openxmlformats.org/drawingml/2006/picture">
            <wp:extent cx="5940000" cy="1158576"/>
            <wp:docPr id="298370872" name="Picture 2983708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58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21 – Авиабилет в документе поступления</w:t>
      </w:r>
    </w:p>
    <w:p>
      <w:pPr>
        <w:pStyle w:val="Основнойтекстотчёта"/>
      </w:pPr>
      <w:r>
        <w:t>Поступление билета отражено проводкой Дт 50.03 Кт 60.01 на 3 500 руб., количество — 1 шт. (рисунок 22).</w:t>
      </w:r>
    </w:p>
    <w:p>
      <w:pPr>
        <w:pStyle w:val="Иллюстрация"/>
      </w:pPr>
      <w:r>
        <w:drawing>
          <wp:inline xmlns:a="http://schemas.openxmlformats.org/drawingml/2006/main" xmlns:pic="http://schemas.openxmlformats.org/drawingml/2006/picture">
            <wp:extent cx="5940000" cy="1434427"/>
            <wp:docPr id="298370873" name="Picture 2983708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34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22 – Проводка поступления авиабилета</w:t>
      </w:r>
    </w:p>
    <w:p>
      <w:pPr>
        <w:pStyle w:val="Heading2"/>
      </w:pPr>
      <w:r>
        <w:t>7 Выдача авиабилета подотчётному лицу</w:t>
      </w:r>
    </w:p>
    <w:p>
      <w:pPr>
        <w:pStyle w:val="Основнойтекстотчёта"/>
      </w:pPr>
      <w:r>
        <w:t>30.01.2026 в 14:00 оформлено выбытие денежных документов № 0000-000002 с операцией «Выдача подотчетному лицу». Петрову С. В. из Отдела закупок передан тот же авиабилет от Костровой В. Б. Срок отчёта установлен 06.02.2026 (рисунки 23 и 24).</w:t>
      </w:r>
    </w:p>
    <w:p>
      <w:pPr>
        <w:pStyle w:val="Иллюстрация"/>
      </w:pPr>
      <w:r>
        <w:drawing>
          <wp:inline xmlns:a="http://schemas.openxmlformats.org/drawingml/2006/main" xmlns:pic="http://schemas.openxmlformats.org/drawingml/2006/picture">
            <wp:extent cx="5940000" cy="1743481"/>
            <wp:docPr id="298370874" name="Picture 2983708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43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23 – Реквизиты выдачи авиабилета Петрову</w:t>
      </w:r>
    </w:p>
    <w:p>
      <w:pPr>
        <w:pStyle w:val="Иллюстрация"/>
      </w:pPr>
      <w:r>
        <w:drawing>
          <wp:inline xmlns:a="http://schemas.openxmlformats.org/drawingml/2006/main" xmlns:pic="http://schemas.openxmlformats.org/drawingml/2006/picture">
            <wp:extent cx="5940000" cy="1140186"/>
            <wp:docPr id="298370875" name="Picture 2983708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4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40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24 – Денежный документ, выданный под отчёт</w:t>
      </w:r>
    </w:p>
    <w:p>
      <w:pPr>
        <w:pStyle w:val="Основнойтекстотчёта"/>
      </w:pPr>
      <w:r>
        <w:t>Передача авиабилета отражена проводкой Дт 71.01 Кт 50.03 на 3 500 руб., количество — 1 шт. (рисунок 25).</w:t>
      </w:r>
    </w:p>
    <w:p>
      <w:pPr>
        <w:pStyle w:val="Иллюстрация"/>
      </w:pPr>
      <w:r>
        <w:drawing>
          <wp:inline xmlns:a="http://schemas.openxmlformats.org/drawingml/2006/main" xmlns:pic="http://schemas.openxmlformats.org/drawingml/2006/picture">
            <wp:extent cx="5940000" cy="1434427"/>
            <wp:docPr id="298370876" name="Picture 2983708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5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34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25 – Проводка выдачи авиабилета</w:t>
      </w:r>
    </w:p>
    <w:p>
      <w:pPr>
        <w:pStyle w:val="Heading2"/>
      </w:pPr>
      <w:r>
        <w:t>8 Списание использованного авиабилета</w:t>
      </w:r>
    </w:p>
    <w:p>
      <w:pPr>
        <w:pStyle w:val="Основнойтекстотчёта"/>
      </w:pPr>
      <w:r>
        <w:t>31.01.2026 оформлен авансовый отчёт № 0000-000002 по Петрову С. В. (рисунок 26). На вкладке «Расходы» указаны стоимость билета 3 500 руб., НДС 20 % — 583,33 руб., отражение НДС «Списать в расходы» (рисунок 27). Статья — «Прочие расходы (прочие операц.)», аналитика — Отдел закупок (рисунок 28).</w:t>
      </w:r>
    </w:p>
    <w:p>
      <w:pPr>
        <w:pStyle w:val="Иллюстрация"/>
      </w:pPr>
      <w:r>
        <w:drawing>
          <wp:inline xmlns:a="http://schemas.openxmlformats.org/drawingml/2006/main" xmlns:pic="http://schemas.openxmlformats.org/drawingml/2006/picture">
            <wp:extent cx="5940000" cy="2093392"/>
            <wp:docPr id="298370877" name="Picture 2983708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6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93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26 – Основные реквизиты авансового отчёта от 31 января</w:t>
      </w:r>
    </w:p>
    <w:p>
      <w:pPr>
        <w:pStyle w:val="Иллюстрация"/>
      </w:pPr>
      <w:r>
        <w:drawing>
          <wp:inline xmlns:a="http://schemas.openxmlformats.org/drawingml/2006/main" xmlns:pic="http://schemas.openxmlformats.org/drawingml/2006/picture">
            <wp:extent cx="5940000" cy="555984"/>
            <wp:docPr id="298370878" name="Picture 2983708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7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55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27 – Сумма и НДС по использованному авиабилету</w:t>
      </w:r>
    </w:p>
    <w:p>
      <w:pPr>
        <w:pStyle w:val="Иллюстрация"/>
      </w:pPr>
      <w:r>
        <w:drawing>
          <wp:inline xmlns:a="http://schemas.openxmlformats.org/drawingml/2006/main" xmlns:pic="http://schemas.openxmlformats.org/drawingml/2006/picture">
            <wp:extent cx="5940000" cy="1537188"/>
            <wp:docPr id="298370879" name="Picture 2983708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8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3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28 – Статья расходов и аналитика авиабилета</w:t>
      </w:r>
    </w:p>
    <w:p>
      <w:pPr>
        <w:pStyle w:val="Основнойтекстотчёта"/>
      </w:pPr>
      <w:r>
        <w:t>Сформированы проводки: Дт 19.04 Кт 71.01 — 583,33 руб.; Дт 91.02 Кт 19.04 — 583,33 руб.; Дт 91.02 Кт 71.01 — 2 916,67 руб. (рисунок 29). Суммарное погашение задолженности подотчётного лица по билету составляет 3 500 руб.</w:t>
      </w:r>
    </w:p>
    <w:p>
      <w:pPr>
        <w:pStyle w:val="Иллюстрация"/>
      </w:pPr>
      <w:r>
        <w:drawing>
          <wp:inline xmlns:a="http://schemas.openxmlformats.org/drawingml/2006/main" xmlns:pic="http://schemas.openxmlformats.org/drawingml/2006/picture">
            <wp:extent cx="5940000" cy="2243591"/>
            <wp:docPr id="298370880" name="Picture 2983708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9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43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29 – Проводки списания стоимости авиабилета</w:t>
      </w:r>
    </w:p>
    <w:p>
      <w:pPr>
        <w:pStyle w:val="Heading2"/>
      </w:pPr>
      <w:r>
        <w:t>9 Проверка расчётов с Петровым</w:t>
      </w:r>
    </w:p>
    <w:p>
      <w:pPr>
        <w:pStyle w:val="Основнойтекстотчёта"/>
      </w:pPr>
      <w:r>
        <w:t>Сформирована карточка счёта 71 за январь 2026 года с отбором по организации ООО «Мебель-Комплект» – Албахтин и работнику Петрову Семену Васильевичу (рисунки 30 и 31). Начальное сальдо — 0 руб.; выдача наличных и авиабилета составляет 9 500 руб.; подтверждённые затраты, предоплата и возврат — 9 500 руб. Конечное сальдо равно нулю.</w:t>
      </w:r>
    </w:p>
    <w:p>
      <w:pPr>
        <w:pStyle w:val="Иллюстрация"/>
      </w:pPr>
      <w:r>
        <w:drawing>
          <wp:inline xmlns:a="http://schemas.openxmlformats.org/drawingml/2006/main" xmlns:pic="http://schemas.openxmlformats.org/drawingml/2006/picture">
            <wp:extent cx="5940000" cy="3023514"/>
            <wp:docPr id="298370881" name="Picture 2983708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23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30 – Карточка счёта 71 по Петрову — начало периода</w:t>
      </w:r>
    </w:p>
    <w:p>
      <w:pPr>
        <w:pStyle w:val="Иллюстрация"/>
      </w:pPr>
      <w:r>
        <w:drawing>
          <wp:inline xmlns:a="http://schemas.openxmlformats.org/drawingml/2006/main" xmlns:pic="http://schemas.openxmlformats.org/drawingml/2006/picture">
            <wp:extent cx="5940000" cy="2900432"/>
            <wp:docPr id="298370882" name="Picture 2983708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00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31 – Карточка счёта 71 по Петрову — итоговые обороты</w:t>
      </w:r>
    </w:p>
    <w:p>
      <w:pPr>
        <w:pStyle w:val="Основнойтекстотчёта"/>
      </w:pPr>
      <w:r>
        <w:t>Контрольные равенства: 6 000 − 60 − 5 000 − 940 = 0 руб.; 3 500 − 583,33 − 2 916,67 = 0 руб. По счёту 50.03 поступление и выдача одного авиабилета отражены на одинаковую сумму 3 500 руб.</w:t>
      </w:r>
    </w:p>
    <w:p>
      <w:pPr>
        <w:pStyle w:val="Основнойтекстотчёта"/>
      </w:pPr>
      <w:r>
        <w:t>Карточка сформирована после отражения документов задания. Предупреждение 1С о необходимости закрытия месяца относится к состоянию периода в целом; регламентное закрытие месяца в объём этой практики не входит.</w:t>
      </w:r>
    </w:p>
    <w:p>
      <w:pPr>
        <w:pStyle w:val="1"/>
      </w:pPr>
      <w:r>
        <w:t>Вывод</w:t>
      </w:r>
    </w:p>
    <w:p>
      <w:pPr>
        <w:pStyle w:val="Основнойтекстотчёта"/>
      </w:pPr>
      <w:r>
        <w:t>Выполнены выдача и возврат наличных под отчёт, приобретение материалов, предоплата поставщику, поступление и выдача денежного документа, а также списание использованного авиабилета. Все документы отражены в регламентированном учёте. Проверка карточки счёта 71 подтвердила отсутствие задолженности Петрова С. В. по выполненным операциям.</w:t>
      </w:r>
    </w:p>
    <w:sectPr w:rsidR="004651E5">
      <w:footerReference w:type="default" r:id="rId28"/>
      <w:pgSz w:w="11906" w:h="16838"/>
      <w:pgMar w:top="1134" w:right="850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12DF0"/>
    <w:multiLevelType w:val="hybridMultilevel"/>
    <w:tmpl w:val="B5ECB5AA"/>
    <w:lvl w:ilvl="0" w:tplc="DFA696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3A9070">
      <w:start w:val="1"/>
      <w:numFmt w:val="lowerLetter"/>
      <w:lvlText w:val="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4C9DE4">
      <w:start w:val="1"/>
      <w:numFmt w:val="lowerRoman"/>
      <w:lvlText w:val="%3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6855F4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6B768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6AE17A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D4302A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5A1410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AE1984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4507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E5"/>
    <w:rsid w:val="002A2FAC"/>
    <w:rsid w:val="004651E5"/>
    <w:rsid w:val="0056694C"/>
    <w:rsid w:val="006E0771"/>
    <w:rsid w:val="00832C58"/>
    <w:rsid w:val="00AA2493"/>
    <w:rsid w:val="00B96F1B"/>
    <w:rsid w:val="00EB3787"/>
    <w:rsid w:val="00FC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03272"/>
  <w15:docId w15:val="{EFBD09B5-06C2-49D7-8FF4-697B1EEC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40" w:line="259" w:lineRule="auto"/>
      <w:ind w:left="737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widowControl/>
      <w:spacing w:after="120" w:line="360" w:lineRule="auto" w:before="240"/>
      <w:ind w:left="0" w:firstLine="0" w:right="0"/>
      <w:jc w:val="center"/>
      <w:outlineLvl w:val="0"/>
    </w:pPr>
    <w:rPr>
      <w:rFonts w:ascii="Times New Roman" w:eastAsia="Times New Roman" w:hAnsi="Times New Roman" w:cs="Times New Roman"/>
      <w:b/>
      <w:i w:val="0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">
    <w:name w:val="Сетка таблицы2"/>
    <w:basedOn w:val="a1"/>
    <w:next w:val="a3"/>
    <w:uiPriority w:val="59"/>
    <w:rsid w:val="002A2FAC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A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Основнойтекстотчёта">
    <w:name w:val="Основной текст отчёта"/>
    <w:pPr>
      <w:widowControl/>
      <w:spacing w:line="360" w:lineRule="auto" w:before="0" w:after="0"/>
      <w:ind w:firstLine="709" w:left="0" w:right="0"/>
      <w:jc w:val="both"/>
    </w:pPr>
    <w:rPr>
      <w:rFonts w:ascii="Times New Roman" w:hAnsi="Times New Roman" w:eastAsia="Times New Roman"/>
      <w:b w:val="0"/>
      <w:i w:val="0"/>
      <w:color w:val="000000"/>
      <w:sz w:val="28"/>
    </w:rPr>
  </w:style>
  <w:style w:type="paragraph" w:customStyle="1" w:styleId="Heading2">
    <w:name w:val="heading 2"/>
    <w:pPr>
      <w:keepNext/>
      <w:keepLines/>
      <w:widowControl/>
      <w:spacing w:line="360" w:lineRule="auto" w:before="240" w:after="120"/>
      <w:ind w:firstLine="0" w:left="0" w:right="0"/>
      <w:jc w:val="left"/>
    </w:pPr>
    <w:rPr>
      <w:rFonts w:ascii="Times New Roman" w:hAnsi="Times New Roman" w:eastAsia="Times New Roman"/>
      <w:b/>
      <w:i w:val="0"/>
      <w:color w:val="000000"/>
      <w:sz w:val="28"/>
    </w:rPr>
  </w:style>
  <w:style w:type="paragraph" w:customStyle="1" w:styleId="Подписьрисунка">
    <w:name w:val="Подпись рисунка"/>
    <w:pPr>
      <w:keepLines/>
      <w:widowControl/>
      <w:spacing w:line="240" w:lineRule="auto" w:before="60" w:after="120"/>
      <w:ind w:firstLine="0" w:left="0" w:right="0"/>
      <w:jc w:val="center"/>
    </w:pPr>
    <w:rPr>
      <w:rFonts w:ascii="Times New Roman" w:hAnsi="Times New Roman" w:eastAsia="Times New Roman"/>
      <w:b w:val="0"/>
      <w:i w:val="0"/>
      <w:color w:val="000000"/>
      <w:sz w:val="28"/>
    </w:rPr>
  </w:style>
  <w:style w:type="paragraph" w:customStyle="1" w:styleId="Иллюстрация">
    <w:name w:val="Иллюстрация"/>
    <w:pPr>
      <w:keepNext/>
      <w:widowControl/>
      <w:spacing w:line="240" w:lineRule="auto" w:before="120" w:after="0"/>
      <w:ind w:firstLine="0" w:left="0" w:right="0"/>
      <w:jc w:val="center"/>
    </w:pPr>
    <w:rPr>
      <w:rFonts w:ascii="Times New Roman" w:hAnsi="Times New Roman" w:eastAsia="Times New Roman"/>
      <w:b w:val="0"/>
      <w:i w:val="0"/>
      <w:color w:val="000000"/>
      <w:sz w:val="28"/>
    </w:rPr>
  </w:style>
  <w:style w:type="paragraph" w:customStyle="1" w:styleId="Подписьтаблицы">
    <w:name w:val="Подпись таблицы"/>
    <w:pPr>
      <w:keepNext/>
      <w:widowControl/>
      <w:spacing w:line="240" w:lineRule="auto" w:before="120" w:after="60"/>
      <w:ind w:firstLine="0" w:left="0" w:right="0"/>
      <w:jc w:val="left"/>
    </w:pPr>
    <w:rPr>
      <w:rFonts w:ascii="Times New Roman" w:hAnsi="Times New Roman" w:eastAsia="Times New Roman"/>
      <w:b w:val="0"/>
      <w:i/>
      <w:color w:val="000000"/>
      <w:sz w:val="24"/>
    </w:rPr>
  </w:style>
  <w:style w:type="paragraph" w:customStyle="1" w:styleId="Тексттаблицы">
    <w:name w:val="Текст таблицы"/>
    <w:pPr>
      <w:widowControl/>
      <w:spacing w:line="240" w:lineRule="auto" w:before="0" w:after="0"/>
      <w:ind w:firstLine="0" w:left="0" w:right="0"/>
      <w:jc w:val="left"/>
    </w:pPr>
    <w:rPr>
      <w:rFonts w:ascii="Times New Roman" w:hAnsi="Times New Roman" w:eastAsia="Times New Roman"/>
      <w:b w:val="0"/>
      <w:i w:val="0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27" Type="http://schemas.openxmlformats.org/officeDocument/2006/relationships/theme" Target="theme/theme1.xml"/><Relationship Id="rId28" Type="http://schemas.openxmlformats.org/officeDocument/2006/relationships/footer" Target="footer1.xml"/><Relationship Id="rId29" Type="http://schemas.openxmlformats.org/officeDocument/2006/relationships/footer" Target="footer2.xml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2 — Расчёты с подотчётными лицами</dc:title>
  <dc:subject>Информационные системы управления ресурсами организации</dc:subject>
  <dc:creator>Албахтин И.В.</dc:creator>
  <cp:keywords>ИСУРО; практика 2; 1С ERP</cp:keywords>
  <cp:lastModifiedBy>VeX EveryOne</cp:lastModifiedBy>
  <cp:revision>3</cp:revision>
  <cp:lastPrinted>2026-09-09T10:18:00Z</cp:lastPrinted>
  <dcterms:created xsi:type="dcterms:W3CDTF">2026-09-09T10:23:00Z</dcterms:created>
  <dcterms:modified xsi:type="dcterms:W3CDTF">2026-09-09T11:04:00Z</dcterms:modified>
</cp:coreProperties>
</file>