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ind w:firstLine="0"/>
        <w:jc w:val="center"/>
      </w:pPr>
      <w:r>
        <w:rPr>
          <w:b w:val="0"/>
          <w:i w:val="0"/>
        </w:rPr>
        <w:t>МИНОБРНАУКИ РОССИИ</w:t>
      </w:r>
    </w:p>
    <w:p>
      <w:pPr>
        <w:spacing w:after="120"/>
        <w:ind w:firstLine="0"/>
        <w:jc w:val="center"/>
      </w:pPr>
      <w:r>
        <w:rPr>
          <w:b w:val="0"/>
          <w:i w:val="0"/>
        </w:rPr>
        <w:t>Федеральное государственное бюджетное образовательное учреждение высшего образования</w:t>
      </w:r>
    </w:p>
    <w:p>
      <w:pPr>
        <w:spacing w:after="120"/>
        <w:ind w:firstLine="0"/>
        <w:jc w:val="center"/>
      </w:pPr>
      <w:r>
        <w:rPr>
          <w:b w:val="0"/>
          <w:i w:val="0"/>
        </w:rPr>
        <w:t>«МИРЭА - Российский технологический университет»</w:t>
      </w:r>
    </w:p>
    <w:p>
      <w:pPr>
        <w:spacing w:after="120"/>
        <w:ind w:firstLine="0"/>
        <w:jc w:val="center"/>
      </w:pPr>
      <w:r>
        <w:rPr>
          <w:b w:val="0"/>
          <w:i w:val="0"/>
        </w:rPr>
        <w:t>Институт информационных технологий</w:t>
      </w:r>
    </w:p>
    <w:p>
      <w:pPr>
        <w:spacing w:after="120"/>
        <w:ind w:firstLine="0"/>
        <w:jc w:val="center"/>
      </w:pPr>
      <w:r>
        <w:rPr>
          <w:b w:val="0"/>
          <w:i w:val="0"/>
        </w:rPr>
        <w:t>Кафедра практической и прикладной информатики</w:t>
      </w:r>
    </w:p>
    <w:p>
      <w:pPr>
        <w:spacing w:after="120"/>
        <w:ind w:firstLine="426"/>
      </w:pPr>
      <w:r>
        <w:rPr>
          <w:b w:val="0"/>
          <w:i w:val="0"/>
        </w:rPr>
      </w:r>
    </w:p>
    <w:p>
      <w:pPr>
        <w:spacing w:after="120"/>
        <w:ind w:firstLine="0"/>
        <w:jc w:val="center"/>
      </w:pPr>
      <w:r>
        <w:rPr>
          <w:b/>
          <w:i w:val="0"/>
        </w:rPr>
        <w:t>КУРСОВАЯ РАБОТА</w:t>
      </w:r>
    </w:p>
    <w:p>
      <w:pPr>
        <w:spacing w:after="120"/>
        <w:ind w:firstLine="0"/>
        <w:jc w:val="center"/>
      </w:pPr>
      <w:r>
        <w:rPr>
          <w:b w:val="0"/>
          <w:i w:val="0"/>
        </w:rPr>
        <w:t>по дисциплине «Реинжиниринг бизнес-процессов»</w:t>
      </w:r>
    </w:p>
    <w:p>
      <w:pPr>
        <w:spacing w:after="120"/>
        <w:ind w:firstLine="0"/>
        <w:jc w:val="center"/>
      </w:pPr>
      <w:r>
        <w:rPr>
          <w:b w:val="0"/>
          <w:i w:val="0"/>
        </w:rPr>
        <w:t>на тему: «Реинжиниринг бизнес-процесса «Сопровождение заказов на поставку компьютерных систем» в компании по сборке и сервисному обслуживанию персональных компьютеров ООО «Юкомс» (ИНН 9718176945)»</w:t>
      </w:r>
    </w:p>
    <w:p>
      <w:pPr>
        <w:spacing w:after="120"/>
        <w:ind w:firstLine="426"/>
      </w:pPr>
      <w:r>
        <w:rPr>
          <w:b w:val="0"/>
          <w:i w:val="0"/>
        </w:rPr>
      </w:r>
    </w:p>
    <w:p>
      <w:pPr>
        <w:spacing w:after="120"/>
        <w:ind w:firstLine="426"/>
      </w:pPr>
      <w:r>
        <w:rPr>
          <w:b w:val="0"/>
          <w:i w:val="0"/>
        </w:rPr>
        <w:t>Выполнил: студент группы ИНБО-12-23 Албахтин И.В.</w:t>
      </w:r>
    </w:p>
    <w:p>
      <w:pPr>
        <w:spacing w:after="120"/>
        <w:ind w:firstLine="426"/>
      </w:pPr>
      <w:r>
        <w:rPr>
          <w:b w:val="0"/>
          <w:i w:val="0"/>
        </w:rPr>
        <w:t>Проверила: Лентяева Татьяна Владимировна</w:t>
      </w:r>
    </w:p>
    <w:p>
      <w:pPr>
        <w:spacing w:after="120"/>
        <w:ind w:firstLine="0"/>
        <w:jc w:val="center"/>
      </w:pPr>
      <w:r>
        <w:rPr>
          <w:b w:val="0"/>
          <w:i w:val="0"/>
        </w:rPr>
        <w:t>Москва 2026</w:t>
      </w:r>
    </w:p>
    <w:p>
      <w:pPr>
        <w:spacing w:after="120"/>
        <w:ind w:firstLine="0"/>
      </w:pPr>
      <w:r>
        <w:rPr>
          <w:b/>
          <w:i w:val="0"/>
        </w:rPr>
        <w:t>СОДЕРЖАНИЕ</w:t>
      </w:r>
    </w:p>
    <w:p>
      <w:pPr>
        <w:spacing w:after="120"/>
        <w:ind w:firstLine="426"/>
      </w:pPr>
      <w:r>
        <w:rPr>
          <w:b w:val="0"/>
          <w:i w:val="0"/>
        </w:rPr>
        <w:t>ВВЕДЕНИЕ</w:t>
      </w:r>
    </w:p>
    <w:p>
      <w:pPr>
        <w:spacing w:after="120"/>
        <w:ind w:firstLine="426"/>
      </w:pPr>
      <w:r>
        <w:rPr>
          <w:b w:val="0"/>
          <w:i w:val="0"/>
        </w:rPr>
        <w:t>1 ИССЛЕДОВАНИЕ ПРЕДМЕТНОЙ ОБЛАСТИ БИЗНЕС-ПРОЦЕССА</w:t>
      </w:r>
    </w:p>
    <w:p>
      <w:pPr>
        <w:spacing w:after="120"/>
        <w:ind w:firstLine="426"/>
      </w:pPr>
      <w:r>
        <w:rPr>
          <w:b w:val="0"/>
          <w:i w:val="0"/>
        </w:rPr>
        <w:t>1.1 Краткая характеристика деятельности ООО «Юкомс»</w:t>
      </w:r>
    </w:p>
    <w:p>
      <w:pPr>
        <w:spacing w:after="120"/>
        <w:ind w:firstLine="426"/>
      </w:pPr>
      <w:r>
        <w:rPr>
          <w:b w:val="0"/>
          <w:i w:val="0"/>
        </w:rPr>
        <w:t>1.2 Общее описание бизнес-процесса</w:t>
      </w:r>
    </w:p>
    <w:p>
      <w:pPr>
        <w:spacing w:after="120"/>
        <w:ind w:firstLine="426"/>
      </w:pPr>
      <w:r>
        <w:rPr>
          <w:b w:val="0"/>
          <w:i w:val="0"/>
        </w:rPr>
        <w:t>2 МОДЕЛИРОВАНИЕ БИЗНЕС-ПРОЦЕССА</w:t>
      </w:r>
    </w:p>
    <w:p>
      <w:pPr>
        <w:spacing w:after="120"/>
        <w:ind w:firstLine="426"/>
      </w:pPr>
      <w:r>
        <w:rPr>
          <w:b w:val="0"/>
          <w:i w:val="0"/>
        </w:rPr>
        <w:t>2.1 Структура бизнес-процесса</w:t>
      </w:r>
    </w:p>
    <w:p>
      <w:pPr>
        <w:spacing w:after="120"/>
        <w:ind w:firstLine="426"/>
      </w:pPr>
      <w:r>
        <w:rPr>
          <w:b w:val="0"/>
          <w:i w:val="0"/>
        </w:rPr>
        <w:t>2.2 Модель бизнес-процесса (as-is)</w:t>
      </w:r>
    </w:p>
    <w:p>
      <w:pPr>
        <w:spacing w:after="120"/>
        <w:ind w:firstLine="426"/>
      </w:pPr>
      <w:r>
        <w:rPr>
          <w:b w:val="0"/>
          <w:i w:val="0"/>
        </w:rPr>
        <w:t>3 АНАЛИЗ БИЗНЕС-ПРОЦЕССА</w:t>
      </w:r>
    </w:p>
    <w:p>
      <w:pPr>
        <w:spacing w:after="120"/>
        <w:ind w:firstLine="426"/>
      </w:pPr>
      <w:r>
        <w:rPr>
          <w:b w:val="0"/>
          <w:i w:val="0"/>
        </w:rPr>
        <w:t>3.1 Анализ проблем бизнес-процесса</w:t>
      </w:r>
    </w:p>
    <w:p>
      <w:pPr>
        <w:spacing w:after="120"/>
        <w:ind w:firstLine="426"/>
      </w:pPr>
      <w:r>
        <w:rPr>
          <w:b w:val="0"/>
          <w:i w:val="0"/>
        </w:rPr>
        <w:t>3.2 Оценка стоимости выполнения бизнес-процесса</w:t>
      </w:r>
    </w:p>
    <w:p>
      <w:pPr>
        <w:spacing w:after="120"/>
        <w:ind w:firstLine="426"/>
      </w:pPr>
      <w:r>
        <w:rPr>
          <w:b w:val="0"/>
          <w:i w:val="0"/>
        </w:rPr>
        <w:t>4 РЕИНЖИНИРИНГ БИЗНЕС-ПРОЦЕССА</w:t>
      </w:r>
    </w:p>
    <w:p>
      <w:pPr>
        <w:spacing w:after="120"/>
        <w:ind w:firstLine="426"/>
      </w:pPr>
      <w:r>
        <w:rPr>
          <w:b w:val="0"/>
          <w:i w:val="0"/>
        </w:rPr>
        <w:t>4.1 Модель бизнес-процесса (to-be)</w:t>
      </w:r>
    </w:p>
    <w:p>
      <w:pPr>
        <w:spacing w:after="120"/>
        <w:ind w:firstLine="426"/>
      </w:pPr>
      <w:r>
        <w:rPr>
          <w:b w:val="0"/>
          <w:i w:val="0"/>
        </w:rPr>
        <w:t>4.2 Оценка изменения характеристик бизнес-процесса</w:t>
      </w:r>
    </w:p>
    <w:p>
      <w:pPr>
        <w:spacing w:after="120"/>
        <w:ind w:firstLine="426"/>
      </w:pPr>
      <w:r>
        <w:rPr>
          <w:b w:val="0"/>
          <w:i w:val="0"/>
        </w:rPr>
        <w:t>4.3 Реализация бизнес-процесса в ПО BPMSoft</w:t>
      </w:r>
    </w:p>
    <w:p>
      <w:pPr>
        <w:spacing w:after="120"/>
        <w:ind w:firstLine="426"/>
      </w:pPr>
      <w:r>
        <w:rPr>
          <w:b w:val="0"/>
          <w:i w:val="0"/>
        </w:rPr>
        <w:t>ЗАКЛЮЧЕНИЕ</w:t>
      </w:r>
    </w:p>
    <w:p>
      <w:pPr>
        <w:spacing w:after="120"/>
        <w:ind w:firstLine="426"/>
      </w:pPr>
      <w:r>
        <w:rPr>
          <w:b w:val="0"/>
          <w:i w:val="0"/>
        </w:rPr>
        <w:t>СПИСОК ИСПОЛЬЗОВАННЫХ ИСТОЧНИКОВ И ЛИТЕРАТУРЫ</w:t>
      </w:r>
    </w:p>
    <w:p>
      <w:pPr>
        <w:spacing w:after="120"/>
        <w:ind w:firstLine="426"/>
      </w:pPr>
      <w:r>
        <w:rPr>
          <w:b w:val="0"/>
          <w:i w:val="0"/>
        </w:rPr>
        <w:t>ПРИЛОЖЕНИЕ А</w:t>
      </w:r>
    </w:p>
    <w:p>
      <w:pPr>
        <w:spacing w:after="120"/>
        <w:ind w:firstLine="0"/>
      </w:pPr>
      <w:r>
        <w:rPr>
          <w:b/>
          <w:i w:val="0"/>
        </w:rPr>
        <w:t>ВВЕДЕНИЕ</w:t>
      </w:r>
    </w:p>
    <w:p>
      <w:pPr>
        <w:spacing w:after="120"/>
        <w:ind w:firstLine="426"/>
      </w:pPr>
      <w:r>
        <w:rPr>
          <w:b w:val="0"/>
          <w:i w:val="0"/>
        </w:rPr>
        <w:t>Актуальность темы обусловлена тем, что для организаций, занимающихся сборкой и поставкой компьютерных систем, критически важна не только физическая готовность изделия, но и корректность информационного сопровождения заказа. Ошибки в цене, составе конфигурации, статусе выполнения, привязке серийных номеров или фиксации результатов контроля приводят к задержкам, повторным проверкам и снижению управляемости выполнения заказа.</w:t>
      </w:r>
    </w:p>
    <w:p>
      <w:pPr>
        <w:spacing w:after="120"/>
        <w:ind w:firstLine="426"/>
      </w:pPr>
      <w:r>
        <w:rPr>
          <w:b w:val="0"/>
          <w:i w:val="0"/>
        </w:rPr>
        <w:t>Объектом исследования является общество с ограниченной ответственностью «Юкомс» (ООО «Юкомс»), осуществляющее деятельность в сфере компьютерной техники, сборки и сопровождения поставки компьютерных систем [4; 5; 6].</w:t>
      </w:r>
    </w:p>
    <w:p>
      <w:pPr>
        <w:spacing w:after="120"/>
        <w:ind w:firstLine="426"/>
      </w:pPr>
      <w:r>
        <w:rPr>
          <w:b w:val="0"/>
          <w:i w:val="0"/>
        </w:rPr>
        <w:t>Предметом исследования выступает бизнес-процесс «Сопровождение заказов на поставку компьютерных систем». В рамках курсовой работы анализируется не физическое производство компьютерной системы, а информационное сопровождение одного конкретного поступившего заказа: получение, проверка, преобразование, фиксация и передача данных о заказе, составе конфигурации, комплектующих, статусах выполнения и результатах контроля.</w:t>
      </w:r>
    </w:p>
    <w:p>
      <w:pPr>
        <w:spacing w:after="120"/>
        <w:ind w:firstLine="426"/>
      </w:pPr>
      <w:r>
        <w:rPr>
          <w:b w:val="0"/>
          <w:i w:val="0"/>
        </w:rPr>
        <w:t>Начальным событием исследуемого бизнес-процесса является поступление заказа на компьютерную систему в обработку. Завершающим событием является передача информации о готовности заказа и результатах выполнения в следующий процесс. В границы исследования не включаются создание карточек товаров, продвижение, закупка комплектующих как самостоятельный процесс, физическая сборка, физическое тестирование оборудования, физическая упаковка, доставка, возвраты, гарантийное обслуживание и разработка или администрирование CMS.</w:t>
      </w:r>
    </w:p>
    <w:p>
      <w:pPr>
        <w:spacing w:after="120"/>
        <w:ind w:firstLine="426"/>
      </w:pPr>
      <w:r>
        <w:rPr>
          <w:b w:val="0"/>
          <w:i w:val="0"/>
        </w:rPr>
        <w:t>Целью курсовой работы является формирование предложений по реинжинирингу исследуемого бизнес-процесса организации.</w:t>
      </w:r>
    </w:p>
    <w:p>
      <w:pPr>
        <w:spacing w:after="120"/>
        <w:ind w:firstLine="426"/>
      </w:pPr>
      <w:r>
        <w:rPr>
          <w:b w:val="0"/>
          <w:i w:val="0"/>
        </w:rPr>
        <w:t>Для достижения цели поставлены следующие задачи: дать характеристику организации ООО «Юкомс»; построить модель бизнес-процесса «Сопровождение заказов на поставку компьютерных систем»; провести анализ бизнес-процесса; предложить изменения в модели бизнес-процесса.</w:t>
      </w:r>
    </w:p>
    <w:p>
      <w:pPr>
        <w:spacing w:after="120"/>
        <w:ind w:firstLine="426"/>
      </w:pPr>
      <w:r>
        <w:rPr>
          <w:b w:val="0"/>
          <w:i w:val="0"/>
        </w:rPr>
        <w:t>В работе используются SWOT-анализ, структурное моделирование бизнес-процесса, нотации IDEF0, BPMN 2.0 и EPC/eEPC, функционально-стоимостный анализ, сравнение моделей as-is и to-be, а также заготовка реализации выбранного сценария в BPMSoft [1; 2; 9].</w:t>
      </w:r>
    </w:p>
    <w:p>
      <w:pPr>
        <w:spacing w:after="120"/>
        <w:ind w:firstLine="0"/>
      </w:pPr>
      <w:r>
        <w:rPr>
          <w:b/>
          <w:i w:val="0"/>
        </w:rPr>
        <w:t>1 ИССЛЕДОВАНИЕ ПРЕДМЕТНОЙ ОБЛАСТИ БИЗНЕС-ПРОЦЕССА</w:t>
      </w:r>
    </w:p>
    <w:p>
      <w:pPr>
        <w:spacing w:after="120"/>
        <w:ind w:firstLine="0"/>
      </w:pPr>
      <w:r>
        <w:rPr>
          <w:b/>
          <w:i w:val="0"/>
        </w:rPr>
        <w:t>1.1 Краткая характеристика деятельности ООО «Юкомс»</w:t>
      </w:r>
    </w:p>
    <w:p>
      <w:pPr>
        <w:spacing w:after="120"/>
        <w:ind w:firstLine="426"/>
      </w:pPr>
      <w:r>
        <w:rPr>
          <w:b w:val="0"/>
          <w:i w:val="0"/>
        </w:rPr>
        <w:t>Общество с ограниченной ответственностью «Юкомс» (ООО «Юкомс») является российской коммерческой организацией, зарегистрированной 2 августа 2021 г. Идентификационный номер налогоплательщика организации - 9718176945, основной государственный регистрационный номер - 1217700358820. Руководителем организации является Казаков Александр Павлович. Юридический адрес организации: г. Москва, вн.тер.г. муниципальный округ Богородское, ул. Краснобогатырская, д. 38, стр. 2, офис 312. Официальный сайт организации: https://ucoms.ru/ [4; 5; 6].</w:t>
      </w:r>
    </w:p>
    <w:p>
      <w:pPr>
        <w:spacing w:after="120"/>
        <w:ind w:firstLine="426"/>
      </w:pPr>
      <w:r>
        <w:rPr>
          <w:b w:val="0"/>
          <w:i w:val="0"/>
        </w:rPr>
        <w:t>Основным зарегистрированным видом деятельности ООО «Юкомс» является 95.11 «Ремонт компьютеров и периферийного компьютерного оборудования». Для темы курсовой работы существенны дополнительные виды деятельности, связанные с компьютерной техникой, электронной торговлей и информационными технологиями: 26.20; 46.51; 46.51.1; 46.51.2; 46.52; 47.41; 47.41.1; 62.02; 62.09. В основном тексте приведены только ОКВЭД-2, имеющие прямую связь с темой исследования [5; 6].</w:t>
      </w:r>
    </w:p>
    <w:p>
      <w:pPr>
        <w:spacing w:after="120"/>
        <w:ind w:firstLine="426"/>
      </w:pPr>
      <w:r>
        <w:rPr>
          <w:b w:val="0"/>
          <w:i w:val="0"/>
        </w:rPr>
        <w:t>Ключевое направление деятельности ООО «Юкомс» связано с формированием и поставкой готовых компьютерных систем для конечных потребителей. Потребителями результатов деятельности организации являются физические лица. К поставщикам, используемым организацией в операционной деятельности, относятся pc4games (https://pc4games.ru/) и itpartner (https://b2b.i-t-p.pro/) [4].</w:t>
      </w:r>
    </w:p>
    <w:p>
      <w:pPr>
        <w:spacing w:after="120"/>
        <w:ind w:firstLine="426"/>
      </w:pPr>
      <w:r>
        <w:rPr>
          <w:b w:val="0"/>
          <w:i w:val="0"/>
        </w:rPr>
        <w:t>Рыночная среда организации характеризуется высокой конкуренцией среди продавцов готовых компьютерных систем. Для характеристики фактической активности продаж используются показатели аналитики маркетплейса за два года: доля в категории, место среди сопоставимых продавцов, маркетплейс-оборот и динамика. Эти значения рассматриваются как оборот/объем продаж магазина на электронной площадке по данным аналитики маркетплейса или внутренним данным и не отождествляются с бухгалтерской выручкой ООО «Юкомс».</w:t>
      </w:r>
    </w:p>
    <w:p>
      <w:pPr>
        <w:spacing w:after="120"/>
        <w:ind w:firstLine="426"/>
      </w:pPr>
      <w:r>
        <w:rPr>
          <w:b w:val="0"/>
          <w:i w:val="0"/>
        </w:rPr>
        <w:t>В таблице 1.1 приведены показатели маркетплейс-оборота продавцов готовых компьютерных систем за два года.</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vAlign w:val="center"/>
          </w:tcPr>
          <w:p>
            <w:r>
              <w:rPr>
                <w:b/>
              </w:rPr>
              <w:t>Место</w:t>
            </w:r>
          </w:p>
        </w:tc>
        <w:tc>
          <w:tcPr>
            <w:tcW w:type="dxa" w:w="1234"/>
            <w:vAlign w:val="center"/>
          </w:tcPr>
          <w:p>
            <w:r>
              <w:rPr>
                <w:b/>
              </w:rPr>
              <w:t>Продавец</w:t>
            </w:r>
          </w:p>
        </w:tc>
        <w:tc>
          <w:tcPr>
            <w:tcW w:type="dxa" w:w="1234"/>
            <w:vAlign w:val="center"/>
          </w:tcPr>
          <w:p>
            <w:r>
              <w:rPr>
                <w:b/>
              </w:rPr>
              <w:t>Роль</w:t>
            </w:r>
          </w:p>
        </w:tc>
        <w:tc>
          <w:tcPr>
            <w:tcW w:type="dxa" w:w="1234"/>
            <w:vAlign w:val="center"/>
          </w:tcPr>
          <w:p>
            <w:r>
              <w:rPr>
                <w:b/>
              </w:rPr>
              <w:t>Доля</w:t>
            </w:r>
          </w:p>
        </w:tc>
        <w:tc>
          <w:tcPr>
            <w:tcW w:type="dxa" w:w="1234"/>
            <w:vAlign w:val="center"/>
          </w:tcPr>
          <w:p>
            <w:r>
              <w:rPr>
                <w:b/>
              </w:rPr>
              <w:t>Маркетплейс-оборот</w:t>
            </w:r>
          </w:p>
        </w:tc>
        <w:tc>
          <w:tcPr>
            <w:tcW w:type="dxa" w:w="1234"/>
            <w:vAlign w:val="center"/>
          </w:tcPr>
          <w:p>
            <w:r>
              <w:rPr>
                <w:b/>
              </w:rPr>
              <w:t>Сравнение с ООО «Юкомс»</w:t>
            </w:r>
          </w:p>
        </w:tc>
        <w:tc>
          <w:tcPr>
            <w:tcW w:type="dxa" w:w="1234"/>
            <w:vAlign w:val="center"/>
          </w:tcPr>
          <w:p>
            <w:r>
              <w:rPr>
                <w:b/>
              </w:rPr>
              <w:t>Динамика</w:t>
            </w:r>
          </w:p>
        </w:tc>
      </w:tr>
      <w:tr>
        <w:tc>
          <w:tcPr>
            <w:tcW w:type="dxa" w:w="1234"/>
            <w:vAlign w:val="center"/>
          </w:tcPr>
          <w:p>
            <w:r>
              <w:t>1</w:t>
            </w:r>
          </w:p>
        </w:tc>
        <w:tc>
          <w:tcPr>
            <w:tcW w:type="dxa" w:w="1234"/>
            <w:vAlign w:val="center"/>
          </w:tcPr>
          <w:p>
            <w:r>
              <w:t>ООО «Роботкомп Корп»</w:t>
            </w:r>
          </w:p>
        </w:tc>
        <w:tc>
          <w:tcPr>
            <w:tcW w:type="dxa" w:w="1234"/>
            <w:vAlign w:val="center"/>
          </w:tcPr>
          <w:p>
            <w:r>
              <w:t>Лидер в категории</w:t>
            </w:r>
          </w:p>
        </w:tc>
        <w:tc>
          <w:tcPr>
            <w:tcW w:type="dxa" w:w="1234"/>
            <w:vAlign w:val="center"/>
          </w:tcPr>
          <w:p>
            <w:r>
              <w:t>10,7 %</w:t>
            </w:r>
          </w:p>
        </w:tc>
        <w:tc>
          <w:tcPr>
            <w:tcW w:type="dxa" w:w="1234"/>
            <w:vAlign w:val="center"/>
          </w:tcPr>
          <w:p>
            <w:r>
              <w:t>935 091 044 руб.</w:t>
            </w:r>
          </w:p>
        </w:tc>
        <w:tc>
          <w:tcPr>
            <w:tcW w:type="dxa" w:w="1234"/>
            <w:vAlign w:val="center"/>
          </w:tcPr>
          <w:p>
            <w:r>
              <w:t>больше на 132 %</w:t>
            </w:r>
          </w:p>
        </w:tc>
        <w:tc>
          <w:tcPr>
            <w:tcW w:type="dxa" w:w="1234"/>
            <w:vAlign w:val="center"/>
          </w:tcPr>
          <w:p>
            <w:r>
              <w:t>+100 %</w:t>
            </w:r>
          </w:p>
        </w:tc>
      </w:tr>
      <w:tr>
        <w:tc>
          <w:tcPr>
            <w:tcW w:type="dxa" w:w="1234"/>
            <w:vAlign w:val="center"/>
          </w:tcPr>
          <w:p>
            <w:r>
              <w:t>2</w:t>
            </w:r>
          </w:p>
        </w:tc>
        <w:tc>
          <w:tcPr>
            <w:tcW w:type="dxa" w:w="1234"/>
            <w:vAlign w:val="center"/>
          </w:tcPr>
          <w:p>
            <w:r>
              <w:t>relotech</w:t>
            </w:r>
          </w:p>
        </w:tc>
        <w:tc>
          <w:tcPr>
            <w:tcW w:type="dxa" w:w="1234"/>
            <w:vAlign w:val="center"/>
          </w:tcPr>
          <w:p>
            <w:r>
              <w:t>Конкурент</w:t>
            </w:r>
          </w:p>
        </w:tc>
        <w:tc>
          <w:tcPr>
            <w:tcW w:type="dxa" w:w="1234"/>
            <w:vAlign w:val="center"/>
          </w:tcPr>
          <w:p>
            <w:r>
              <w:t>6,8 %</w:t>
            </w:r>
          </w:p>
        </w:tc>
        <w:tc>
          <w:tcPr>
            <w:tcW w:type="dxa" w:w="1234"/>
            <w:vAlign w:val="center"/>
          </w:tcPr>
          <w:p>
            <w:r>
              <w:t>597 821 090 руб.</w:t>
            </w:r>
          </w:p>
        </w:tc>
        <w:tc>
          <w:tcPr>
            <w:tcW w:type="dxa" w:w="1234"/>
            <w:vAlign w:val="center"/>
          </w:tcPr>
          <w:p>
            <w:r>
              <w:t>больше на 48,3 %</w:t>
            </w:r>
          </w:p>
        </w:tc>
        <w:tc>
          <w:tcPr>
            <w:tcW w:type="dxa" w:w="1234"/>
            <w:vAlign w:val="center"/>
          </w:tcPr>
          <w:p>
            <w:r>
              <w:t>+100 %</w:t>
            </w:r>
          </w:p>
        </w:tc>
      </w:tr>
      <w:tr>
        <w:tc>
          <w:tcPr>
            <w:tcW w:type="dxa" w:w="1234"/>
            <w:vAlign w:val="center"/>
          </w:tcPr>
          <w:p>
            <w:r>
              <w:t>3</w:t>
            </w:r>
          </w:p>
        </w:tc>
        <w:tc>
          <w:tcPr>
            <w:tcW w:type="dxa" w:w="1234"/>
            <w:vAlign w:val="center"/>
          </w:tcPr>
          <w:p>
            <w:r>
              <w:t>FIRESTRIKE-PC</w:t>
            </w:r>
          </w:p>
        </w:tc>
        <w:tc>
          <w:tcPr>
            <w:tcW w:type="dxa" w:w="1234"/>
            <w:vAlign w:val="center"/>
          </w:tcPr>
          <w:p>
            <w:r>
              <w:t>Конкурент</w:t>
            </w:r>
          </w:p>
        </w:tc>
        <w:tc>
          <w:tcPr>
            <w:tcW w:type="dxa" w:w="1234"/>
            <w:vAlign w:val="center"/>
          </w:tcPr>
          <w:p>
            <w:r>
              <w:t>5,0 %</w:t>
            </w:r>
          </w:p>
        </w:tc>
        <w:tc>
          <w:tcPr>
            <w:tcW w:type="dxa" w:w="1234"/>
            <w:vAlign w:val="center"/>
          </w:tcPr>
          <w:p>
            <w:r>
              <w:t>441 528 120 руб.</w:t>
            </w:r>
          </w:p>
        </w:tc>
        <w:tc>
          <w:tcPr>
            <w:tcW w:type="dxa" w:w="1234"/>
            <w:vAlign w:val="center"/>
          </w:tcPr>
          <w:p>
            <w:r>
              <w:t>больше на 9,5 %</w:t>
            </w:r>
          </w:p>
        </w:tc>
        <w:tc>
          <w:tcPr>
            <w:tcW w:type="dxa" w:w="1234"/>
            <w:vAlign w:val="center"/>
          </w:tcPr>
          <w:p>
            <w:r>
              <w:t>+100 %</w:t>
            </w:r>
          </w:p>
        </w:tc>
      </w:tr>
      <w:tr>
        <w:tc>
          <w:tcPr>
            <w:tcW w:type="dxa" w:w="1234"/>
            <w:vAlign w:val="center"/>
          </w:tcPr>
          <w:p>
            <w:r>
              <w:t>4</w:t>
            </w:r>
          </w:p>
        </w:tc>
        <w:tc>
          <w:tcPr>
            <w:tcW w:type="dxa" w:w="1234"/>
            <w:vAlign w:val="center"/>
          </w:tcPr>
          <w:p>
            <w:r>
              <w:t>ЮКОМС - КОМПЬЮТЕРНЫЙ МАГАЗИН</w:t>
            </w:r>
          </w:p>
        </w:tc>
        <w:tc>
          <w:tcPr>
            <w:tcW w:type="dxa" w:w="1234"/>
            <w:vAlign w:val="center"/>
          </w:tcPr>
          <w:p>
            <w:r>
              <w:t>Моя компания</w:t>
            </w:r>
          </w:p>
        </w:tc>
        <w:tc>
          <w:tcPr>
            <w:tcW w:type="dxa" w:w="1234"/>
            <w:vAlign w:val="center"/>
          </w:tcPr>
          <w:p>
            <w:r>
              <w:t>4,6 %</w:t>
            </w:r>
          </w:p>
        </w:tc>
        <w:tc>
          <w:tcPr>
            <w:tcW w:type="dxa" w:w="1234"/>
            <w:vAlign w:val="center"/>
          </w:tcPr>
          <w:p>
            <w:r>
              <w:t>403 064 857 руб.</w:t>
            </w:r>
          </w:p>
        </w:tc>
        <w:tc>
          <w:tcPr>
            <w:tcW w:type="dxa" w:w="1234"/>
            <w:vAlign w:val="center"/>
          </w:tcPr>
          <w:p>
            <w:r>
              <w:t>-</w:t>
            </w:r>
          </w:p>
        </w:tc>
        <w:tc>
          <w:tcPr>
            <w:tcW w:type="dxa" w:w="1234"/>
            <w:vAlign w:val="center"/>
          </w:tcPr>
          <w:p>
            <w:r>
              <w:t>+100 %</w:t>
            </w:r>
          </w:p>
        </w:tc>
      </w:tr>
      <w:tr>
        <w:tc>
          <w:tcPr>
            <w:tcW w:type="dxa" w:w="1234"/>
            <w:vAlign w:val="center"/>
          </w:tcPr>
          <w:p>
            <w:r>
              <w:t>5</w:t>
            </w:r>
          </w:p>
        </w:tc>
        <w:tc>
          <w:tcPr>
            <w:tcW w:type="dxa" w:w="1234"/>
            <w:vAlign w:val="center"/>
          </w:tcPr>
          <w:p>
            <w:r>
              <w:t>JetGame</w:t>
            </w:r>
          </w:p>
        </w:tc>
        <w:tc>
          <w:tcPr>
            <w:tcW w:type="dxa" w:w="1234"/>
            <w:vAlign w:val="center"/>
          </w:tcPr>
          <w:p>
            <w:r>
              <w:t>Конкурент</w:t>
            </w:r>
          </w:p>
        </w:tc>
        <w:tc>
          <w:tcPr>
            <w:tcW w:type="dxa" w:w="1234"/>
            <w:vAlign w:val="center"/>
          </w:tcPr>
          <w:p>
            <w:r>
              <w:t>2,4 %</w:t>
            </w:r>
          </w:p>
        </w:tc>
        <w:tc>
          <w:tcPr>
            <w:tcW w:type="dxa" w:w="1234"/>
            <w:vAlign w:val="center"/>
          </w:tcPr>
          <w:p>
            <w:r>
              <w:t>210 226 800 руб.</w:t>
            </w:r>
          </w:p>
        </w:tc>
        <w:tc>
          <w:tcPr>
            <w:tcW w:type="dxa" w:w="1234"/>
            <w:vAlign w:val="center"/>
          </w:tcPr>
          <w:p>
            <w:r>
              <w:t>меньше на 47,8 %</w:t>
            </w:r>
          </w:p>
        </w:tc>
        <w:tc>
          <w:tcPr>
            <w:tcW w:type="dxa" w:w="1234"/>
            <w:vAlign w:val="center"/>
          </w:tcPr>
          <w:p>
            <w:r>
              <w:t>+100 %</w:t>
            </w:r>
          </w:p>
        </w:tc>
      </w:tr>
      <w:tr>
        <w:tc>
          <w:tcPr>
            <w:tcW w:type="dxa" w:w="1234"/>
            <w:vAlign w:val="center"/>
          </w:tcPr>
          <w:p>
            <w:r>
              <w:t>6</w:t>
            </w:r>
          </w:p>
        </w:tc>
        <w:tc>
          <w:tcPr>
            <w:tcW w:type="dxa" w:w="1234"/>
            <w:vAlign w:val="center"/>
          </w:tcPr>
          <w:p>
            <w:r>
              <w:t>TREIDCOMPUTERS</w:t>
            </w:r>
          </w:p>
        </w:tc>
        <w:tc>
          <w:tcPr>
            <w:tcW w:type="dxa" w:w="1234"/>
            <w:vAlign w:val="center"/>
          </w:tcPr>
          <w:p>
            <w:r>
              <w:t>Конкурент</w:t>
            </w:r>
          </w:p>
        </w:tc>
        <w:tc>
          <w:tcPr>
            <w:tcW w:type="dxa" w:w="1234"/>
            <w:vAlign w:val="center"/>
          </w:tcPr>
          <w:p>
            <w:r>
              <w:t>2,2 %</w:t>
            </w:r>
          </w:p>
        </w:tc>
        <w:tc>
          <w:tcPr>
            <w:tcW w:type="dxa" w:w="1234"/>
            <w:vAlign w:val="center"/>
          </w:tcPr>
          <w:p>
            <w:r>
              <w:t>190 508 437 руб.</w:t>
            </w:r>
          </w:p>
        </w:tc>
        <w:tc>
          <w:tcPr>
            <w:tcW w:type="dxa" w:w="1234"/>
            <w:vAlign w:val="center"/>
          </w:tcPr>
          <w:p>
            <w:r>
              <w:t>меньше на 52,7 %</w:t>
            </w:r>
          </w:p>
        </w:tc>
        <w:tc>
          <w:tcPr>
            <w:tcW w:type="dxa" w:w="1234"/>
            <w:vAlign w:val="center"/>
          </w:tcPr>
          <w:p>
            <w:r>
              <w:t>+100 %</w:t>
            </w:r>
          </w:p>
        </w:tc>
      </w:tr>
      <w:tr>
        <w:tc>
          <w:tcPr>
            <w:tcW w:type="dxa" w:w="1234"/>
            <w:vAlign w:val="center"/>
          </w:tcPr>
          <w:p>
            <w:r>
              <w:t>7</w:t>
            </w:r>
          </w:p>
        </w:tc>
        <w:tc>
          <w:tcPr>
            <w:tcW w:type="dxa" w:w="1234"/>
            <w:vAlign w:val="center"/>
          </w:tcPr>
          <w:p>
            <w:r>
              <w:t>NAVI COMPUTERS</w:t>
            </w:r>
          </w:p>
        </w:tc>
        <w:tc>
          <w:tcPr>
            <w:tcW w:type="dxa" w:w="1234"/>
            <w:vAlign w:val="center"/>
          </w:tcPr>
          <w:p>
            <w:r>
              <w:t>Конкурент</w:t>
            </w:r>
          </w:p>
        </w:tc>
        <w:tc>
          <w:tcPr>
            <w:tcW w:type="dxa" w:w="1234"/>
            <w:vAlign w:val="center"/>
          </w:tcPr>
          <w:p>
            <w:r>
              <w:t>2,2 %</w:t>
            </w:r>
          </w:p>
        </w:tc>
        <w:tc>
          <w:tcPr>
            <w:tcW w:type="dxa" w:w="1234"/>
            <w:vAlign w:val="center"/>
          </w:tcPr>
          <w:p>
            <w:r>
              <w:t>189 990 344 руб.</w:t>
            </w:r>
          </w:p>
        </w:tc>
        <w:tc>
          <w:tcPr>
            <w:tcW w:type="dxa" w:w="1234"/>
            <w:vAlign w:val="center"/>
          </w:tcPr>
          <w:p>
            <w:r>
              <w:t>меньше на 52,9 %</w:t>
            </w:r>
          </w:p>
        </w:tc>
        <w:tc>
          <w:tcPr>
            <w:tcW w:type="dxa" w:w="1234"/>
            <w:vAlign w:val="center"/>
          </w:tcPr>
          <w:p>
            <w:r>
              <w:t>+100 %</w:t>
            </w:r>
          </w:p>
        </w:tc>
      </w:tr>
      <w:tr>
        <w:tc>
          <w:tcPr>
            <w:tcW w:type="dxa" w:w="1234"/>
            <w:vAlign w:val="center"/>
          </w:tcPr>
          <w:p>
            <w:r>
              <w:t>8</w:t>
            </w:r>
          </w:p>
        </w:tc>
        <w:tc>
          <w:tcPr>
            <w:tcW w:type="dxa" w:w="1234"/>
            <w:vAlign w:val="center"/>
          </w:tcPr>
          <w:p>
            <w:r>
              <w:t>iRONCORE</w:t>
            </w:r>
          </w:p>
        </w:tc>
        <w:tc>
          <w:tcPr>
            <w:tcW w:type="dxa" w:w="1234"/>
            <w:vAlign w:val="center"/>
          </w:tcPr>
          <w:p>
            <w:r>
              <w:t>Конкурент</w:t>
            </w:r>
          </w:p>
        </w:tc>
        <w:tc>
          <w:tcPr>
            <w:tcW w:type="dxa" w:w="1234"/>
            <w:vAlign w:val="center"/>
          </w:tcPr>
          <w:p>
            <w:r>
              <w:t>2,1 %</w:t>
            </w:r>
          </w:p>
        </w:tc>
        <w:tc>
          <w:tcPr>
            <w:tcW w:type="dxa" w:w="1234"/>
            <w:vAlign w:val="center"/>
          </w:tcPr>
          <w:p>
            <w:r>
              <w:t>185 696 046 руб.</w:t>
            </w:r>
          </w:p>
        </w:tc>
        <w:tc>
          <w:tcPr>
            <w:tcW w:type="dxa" w:w="1234"/>
            <w:vAlign w:val="center"/>
          </w:tcPr>
          <w:p>
            <w:r>
              <w:t>меньше на 53,9 %</w:t>
            </w:r>
          </w:p>
        </w:tc>
        <w:tc>
          <w:tcPr>
            <w:tcW w:type="dxa" w:w="1234"/>
            <w:vAlign w:val="center"/>
          </w:tcPr>
          <w:p>
            <w:r>
              <w:t>+100 %</w:t>
            </w:r>
          </w:p>
        </w:tc>
      </w:tr>
      <w:tr>
        <w:tc>
          <w:tcPr>
            <w:tcW w:type="dxa" w:w="1234"/>
            <w:vAlign w:val="center"/>
          </w:tcPr>
          <w:p>
            <w:r>
              <w:t>9</w:t>
            </w:r>
          </w:p>
        </w:tc>
        <w:tc>
          <w:tcPr>
            <w:tcW w:type="dxa" w:w="1234"/>
            <w:vAlign w:val="center"/>
          </w:tcPr>
          <w:p>
            <w:r>
              <w:t>О! КСЕОН</w:t>
            </w:r>
          </w:p>
        </w:tc>
        <w:tc>
          <w:tcPr>
            <w:tcW w:type="dxa" w:w="1234"/>
            <w:vAlign w:val="center"/>
          </w:tcPr>
          <w:p>
            <w:r>
              <w:t>Конкурент</w:t>
            </w:r>
          </w:p>
        </w:tc>
        <w:tc>
          <w:tcPr>
            <w:tcW w:type="dxa" w:w="1234"/>
            <w:vAlign w:val="center"/>
          </w:tcPr>
          <w:p>
            <w:r>
              <w:t>1,9 %</w:t>
            </w:r>
          </w:p>
        </w:tc>
        <w:tc>
          <w:tcPr>
            <w:tcW w:type="dxa" w:w="1234"/>
            <w:vAlign w:val="center"/>
          </w:tcPr>
          <w:p>
            <w:r>
              <w:t>168 872 613 руб.</w:t>
            </w:r>
          </w:p>
        </w:tc>
        <w:tc>
          <w:tcPr>
            <w:tcW w:type="dxa" w:w="1234"/>
            <w:vAlign w:val="center"/>
          </w:tcPr>
          <w:p>
            <w:r>
              <w:t>меньше на 58,1 %</w:t>
            </w:r>
          </w:p>
        </w:tc>
        <w:tc>
          <w:tcPr>
            <w:tcW w:type="dxa" w:w="1234"/>
            <w:vAlign w:val="center"/>
          </w:tcPr>
          <w:p>
            <w:r>
              <w:t>+100 %</w:t>
            </w:r>
          </w:p>
        </w:tc>
      </w:tr>
      <w:tr>
        <w:tc>
          <w:tcPr>
            <w:tcW w:type="dxa" w:w="1234"/>
            <w:vAlign w:val="center"/>
          </w:tcPr>
          <w:p>
            <w:r>
              <w:t>10</w:t>
            </w:r>
          </w:p>
        </w:tc>
        <w:tc>
          <w:tcPr>
            <w:tcW w:type="dxa" w:w="1234"/>
            <w:vAlign w:val="center"/>
          </w:tcPr>
          <w:p>
            <w:r>
              <w:t>ДомЛюкс</w:t>
            </w:r>
          </w:p>
        </w:tc>
        <w:tc>
          <w:tcPr>
            <w:tcW w:type="dxa" w:w="1234"/>
            <w:vAlign w:val="center"/>
          </w:tcPr>
          <w:p>
            <w:r>
              <w:t>Конкурент</w:t>
            </w:r>
          </w:p>
        </w:tc>
        <w:tc>
          <w:tcPr>
            <w:tcW w:type="dxa" w:w="1234"/>
            <w:vAlign w:val="center"/>
          </w:tcPr>
          <w:p>
            <w:r>
              <w:t>1,9 %</w:t>
            </w:r>
          </w:p>
        </w:tc>
        <w:tc>
          <w:tcPr>
            <w:tcW w:type="dxa" w:w="1234"/>
            <w:vAlign w:val="center"/>
          </w:tcPr>
          <w:p>
            <w:r>
              <w:t>163 576 660 руб.</w:t>
            </w:r>
          </w:p>
        </w:tc>
        <w:tc>
          <w:tcPr>
            <w:tcW w:type="dxa" w:w="1234"/>
            <w:vAlign w:val="center"/>
          </w:tcPr>
          <w:p>
            <w:r>
              <w:t>меньше на 59,4 %</w:t>
            </w:r>
          </w:p>
        </w:tc>
        <w:tc>
          <w:tcPr>
            <w:tcW w:type="dxa" w:w="1234"/>
            <w:vAlign w:val="center"/>
          </w:tcPr>
          <w:p>
            <w:r>
              <w:t>+100 %</w:t>
            </w:r>
          </w:p>
        </w:tc>
      </w:tr>
    </w:tbl>
    <w:p>
      <w:pPr>
        <w:spacing w:after="120"/>
        <w:ind w:firstLine="426"/>
      </w:pPr>
      <w:r>
        <w:rPr>
          <w:b w:val="0"/>
          <w:i w:val="0"/>
        </w:rPr>
        <w:t>Организационная структура ООО «Юкомс» имеет линейно-функциональный тип. Руководство компании осуществляет стратегическое управление. Отдел электронной коммерции отвечает за продажи через маркетплейсы и интернет-ресурсы. Производственный участок отвечает за выполнение заказов и фиксацию результатов этапов. Логистический отдел, клиентская поддержка, сервисное обслуживание и ИТ-поддержка являются смежными функциями, но не исполнителями исследуемого информационного процесса.</w:t>
      </w:r>
    </w:p>
    <w:p>
      <w:pPr>
        <w:spacing w:after="120"/>
        <w:ind w:firstLine="426"/>
      </w:pPr>
      <w:r>
        <w:rPr>
          <w:b w:val="0"/>
          <w:i w:val="0"/>
        </w:rPr>
        <w:t>В границы исследуемого бизнес-процесса включаются только участники, выполняющие информационные действия по конкретному поступившему заказу. Владельцем процесса является руководитель отдела производства (руководитель производственного участка). Исполнителями процесса являются руководитель отдела производства, платформер, сборщик ПК, инженер тестирования компьютерной техники и упаковщик.</w:t>
      </w:r>
    </w:p>
    <w:p>
      <w:pPr>
        <w:spacing w:after="120"/>
        <w:ind w:firstLine="0"/>
        <w:jc w:val="center"/>
      </w:pPr>
      <w:r>
        <w:rPr>
          <w:b w:val="0"/>
          <w:i/>
        </w:rPr>
        <w:t>Место для рисунка 1.1: Организационная структура ООО «Юкомс». Диаграмма будет подготовлена вручную.</w:t>
      </w:r>
    </w:p>
    <w:p>
      <w:pPr>
        <w:spacing w:after="120"/>
        <w:ind w:firstLine="426"/>
      </w:pPr>
      <w:r>
        <w:rPr>
          <w:b w:val="0"/>
          <w:i w:val="0"/>
        </w:rPr>
        <w:t>SWOT-анализ ООО «Юкомс» представлен в таблице 1.2.</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tcPr>
          <w:p>
            <w:r>
              <w:rPr>
                <w:b/>
              </w:rPr>
              <w:t>Сильные стороны (Strengths)</w:t>
            </w:r>
          </w:p>
        </w:tc>
        <w:tc>
          <w:tcPr>
            <w:tcW w:type="dxa" w:w="2160"/>
            <w:vAlign w:val="center"/>
          </w:tcPr>
          <w:p>
            <w:r>
              <w:rPr>
                <w:b/>
              </w:rPr>
              <w:t>Слабые стороны (Weaknesses)</w:t>
            </w:r>
          </w:p>
        </w:tc>
        <w:tc>
          <w:tcPr>
            <w:tcW w:type="dxa" w:w="2160"/>
            <w:vAlign w:val="center"/>
          </w:tcPr>
          <w:p>
            <w:r>
              <w:rPr>
                <w:b/>
              </w:rPr>
              <w:t>Возможности (Opportunities)</w:t>
            </w:r>
          </w:p>
        </w:tc>
        <w:tc>
          <w:tcPr>
            <w:tcW w:type="dxa" w:w="2160"/>
            <w:vAlign w:val="center"/>
          </w:tcPr>
          <w:p>
            <w:r>
              <w:rPr>
                <w:b/>
              </w:rPr>
              <w:t>Угрозы (Threats)</w:t>
            </w:r>
          </w:p>
        </w:tc>
      </w:tr>
      <w:tr>
        <w:tc>
          <w:tcPr>
            <w:tcW w:type="dxa" w:w="2160"/>
            <w:vAlign w:val="center"/>
          </w:tcPr>
          <w:p>
            <w:r>
              <w:t>- Высокая вариативность конфигураций ПК</w:t>
              <w:br/>
              <w:t>- Быстрая сборка</w:t>
              <w:br/>
              <w:t>- Контроль качества</w:t>
              <w:br/>
              <w:t>- PXE-развертывание ОС и внутренние системы</w:t>
              <w:br/>
              <w:t>- Опыт работы с Ozon</w:t>
              <w:br/>
              <w:t>- Наличие собственного ИТ-отдела</w:t>
            </w:r>
          </w:p>
        </w:tc>
        <w:tc>
          <w:tcPr>
            <w:tcW w:type="dxa" w:w="2160"/>
            <w:vAlign w:val="center"/>
          </w:tcPr>
          <w:p>
            <w:r>
              <w:t>- Зависимость от маркетплейсов</w:t>
              <w:br/>
              <w:t>- Ограниченный собственный бренд</w:t>
              <w:br/>
              <w:t>- Ручной контроль части процессов</w:t>
              <w:br/>
              <w:t>- Зависимость от поставщиков</w:t>
              <w:br/>
              <w:t>- Ограниченные ресурсы производства</w:t>
              <w:br/>
              <w:t>- Отсутствие полноценной системы управления знаниями/данными</w:t>
            </w:r>
          </w:p>
        </w:tc>
        <w:tc>
          <w:tcPr>
            <w:tcW w:type="dxa" w:w="2160"/>
            <w:vAlign w:val="center"/>
          </w:tcPr>
          <w:p>
            <w:r>
              <w:t>- Оптимизация карточек товаров</w:t>
              <w:br/>
              <w:t>- Автоматизация подбора конфигураций</w:t>
              <w:br/>
              <w:t>- Разработка и использование собственной CMS</w:t>
              <w:br/>
              <w:t>- Расширение ассортимента</w:t>
              <w:br/>
              <w:t>- Производство брендовых комплектующих</w:t>
              <w:br/>
              <w:t>- Расширение каналов продаж</w:t>
            </w:r>
          </w:p>
        </w:tc>
        <w:tc>
          <w:tcPr>
            <w:tcW w:type="dxa" w:w="2160"/>
            <w:vAlign w:val="center"/>
          </w:tcPr>
          <w:p>
            <w:r>
              <w:t>- Изменение правил маркетплейсов</w:t>
              <w:br/>
              <w:t>- Рост конкуренции</w:t>
              <w:br/>
              <w:t>- Колебания цен на комплектующие</w:t>
              <w:br/>
              <w:t>- Логистические проблемы</w:t>
              <w:br/>
              <w:t>- Снижение покупательской способности</w:t>
              <w:br/>
              <w:t>- Ужесточение регулирования торговли</w:t>
            </w:r>
          </w:p>
        </w:tc>
      </w:tr>
    </w:tbl>
    <w:p>
      <w:pPr>
        <w:spacing w:after="120"/>
        <w:ind w:firstLine="426"/>
      </w:pPr>
      <w:r>
        <w:rPr>
          <w:b w:val="0"/>
          <w:i w:val="0"/>
        </w:rPr>
        <w:t>По результатам SWOT-анализа целесообразны развитие собственного сайта и дополнительных каналов продаж, автоматизация ручных процессов, внедрение валидации данных по карточкам, конфигурациям и серийным номерам, стандартизация описаний и шаблонов, работа с альтернативными поставщиками, мониторинг конкурентов и усиление прозрачности статусов заказа.</w:t>
      </w:r>
    </w:p>
    <w:p>
      <w:pPr>
        <w:spacing w:after="120"/>
        <w:ind w:firstLine="0"/>
      </w:pPr>
      <w:r>
        <w:rPr>
          <w:b/>
          <w:i w:val="0"/>
        </w:rPr>
        <w:t>1.2 Общее описание бизнес-процесса</w:t>
      </w:r>
    </w:p>
    <w:p>
      <w:pPr>
        <w:spacing w:after="120"/>
        <w:ind w:firstLine="426"/>
      </w:pPr>
      <w:r>
        <w:rPr>
          <w:b w:val="0"/>
          <w:i w:val="0"/>
        </w:rPr>
        <w:t>Процесс сопровождения заказа на поставку компьютерной системы в типовой организации представляет собой совокупность информационных действий, обеспечивающих переход конкретного заказа от поступления в обработку до передачи сведений о его готовности в следующий процесс. Такой процесс не тождественен физической сборке компьютера: предметом анализа является движение информации о заказе, составе конфигурации, комплектующих, статусах выполнения и результатах контроля.</w:t>
      </w:r>
    </w:p>
    <w:p>
      <w:pPr>
        <w:spacing w:after="120"/>
        <w:ind w:firstLine="426"/>
      </w:pPr>
      <w:r>
        <w:rPr>
          <w:b w:val="0"/>
          <w:i w:val="0"/>
        </w:rPr>
        <w:t>Ключевыми понятиями процесса являются заказ, конфигурация компьютерной системы, статус заказа, учетные данные о комплектующих, серийный номер комплектующей, результат диагностики, видеофиксация и отметка о готовности. Серийный номер используется для контроля установки конкретной комплектующей в конкретный заказ и для последующей прослеживаемости ее оборота.</w:t>
      </w:r>
    </w:p>
    <w:p>
      <w:pPr>
        <w:spacing w:after="120"/>
        <w:ind w:firstLine="426"/>
      </w:pPr>
      <w:r>
        <w:rPr>
          <w:b w:val="0"/>
          <w:i w:val="0"/>
        </w:rPr>
        <w:t>Типовыми участниками информационного сопровождения заказа являются руководитель производственного подразделения, сотрудник, отвечающий за привязку комплектующих, сотрудник, фиксирующий сведения о завершении сборочного этапа, специалист, фиксирующий результаты диагностики, и сотрудник, вносящий сведения о видеофиксации или упаковке.</w:t>
      </w:r>
    </w:p>
    <w:p>
      <w:pPr>
        <w:spacing w:after="120"/>
        <w:ind w:firstLine="426"/>
      </w:pPr>
      <w:r>
        <w:rPr>
          <w:b w:val="0"/>
          <w:i w:val="0"/>
        </w:rPr>
        <w:t>Основные информационные потоки процесса включают данные заказа, цену, состав конфигурации, сведения о наличии комплектующих, серийные номера конкретных комплектующих, статус передачи заказа на выполнение, сведения о завершении этапов, результаты диагностики, сведения о видеофиксации и итоговую отметку о готовности.</w:t>
      </w:r>
    </w:p>
    <w:p>
      <w:pPr>
        <w:spacing w:after="120"/>
        <w:ind w:firstLine="426"/>
      </w:pPr>
      <w:r>
        <w:rPr>
          <w:b w:val="0"/>
          <w:i w:val="0"/>
        </w:rPr>
        <w:t>К документам и данным относятся карточка заказа, спецификация конфигурации, учетные данные склада, задание на выполнение, форма фиксации серийных номеров, результат диагностики, запись или ссылка видеофиксации, статусная запись и отметка о передаче сведений в следующий процесс.</w:t>
      </w:r>
    </w:p>
    <w:p>
      <w:pPr>
        <w:spacing w:after="120"/>
        <w:ind w:firstLine="426"/>
      </w:pPr>
      <w:r>
        <w:rPr>
          <w:b w:val="0"/>
          <w:i w:val="0"/>
        </w:rPr>
        <w:t>В таблице 1.3 приведены определения основных документов и данных процесса.</w:t>
      </w:r>
    </w:p>
    <w:tbl>
      <w:tblPr>
        <w:tblStyle w:val="TableGrid"/>
        <w:tblW w:type="auto" w:w="0"/>
        <w:jc w:val="center"/>
        <w:tblLook w:firstColumn="1" w:firstRow="1" w:lastColumn="0" w:lastRow="0" w:noHBand="0" w:noVBand="1" w:val="04A0"/>
      </w:tblPr>
      <w:tblGrid>
        <w:gridCol w:w="4320"/>
        <w:gridCol w:w="4320"/>
      </w:tblGrid>
      <w:tr>
        <w:tc>
          <w:tcPr>
            <w:tcW w:type="dxa" w:w="4320"/>
            <w:vAlign w:val="center"/>
          </w:tcPr>
          <w:p>
            <w:r>
              <w:rPr>
                <w:b/>
              </w:rPr>
              <w:t>Документ или данные</w:t>
            </w:r>
          </w:p>
        </w:tc>
        <w:tc>
          <w:tcPr>
            <w:tcW w:type="dxa" w:w="4320"/>
            <w:vAlign w:val="center"/>
          </w:tcPr>
          <w:p>
            <w:r>
              <w:rPr>
                <w:b/>
              </w:rPr>
              <w:t>Определение и назначение</w:t>
            </w:r>
          </w:p>
        </w:tc>
      </w:tr>
      <w:tr>
        <w:tc>
          <w:tcPr>
            <w:tcW w:type="dxa" w:w="4320"/>
            <w:vAlign w:val="center"/>
          </w:tcPr>
          <w:p>
            <w:r>
              <w:t>Карточка заказа</w:t>
            </w:r>
          </w:p>
        </w:tc>
        <w:tc>
          <w:tcPr>
            <w:tcW w:type="dxa" w:w="4320"/>
            <w:vAlign w:val="center"/>
          </w:tcPr>
          <w:p>
            <w:r>
              <w:t>Основная запись о заказе, составе, статусе и ответственных действиях.</w:t>
            </w:r>
          </w:p>
        </w:tc>
      </w:tr>
      <w:tr>
        <w:tc>
          <w:tcPr>
            <w:tcW w:type="dxa" w:w="4320"/>
            <w:vAlign w:val="center"/>
          </w:tcPr>
          <w:p>
            <w:r>
              <w:t>Спецификация конфигурации</w:t>
            </w:r>
          </w:p>
        </w:tc>
        <w:tc>
          <w:tcPr>
            <w:tcW w:type="dxa" w:w="4320"/>
            <w:vAlign w:val="center"/>
          </w:tcPr>
          <w:p>
            <w:r>
              <w:t>Перечень комплектующих и характеристик компьютерной системы.</w:t>
            </w:r>
          </w:p>
        </w:tc>
      </w:tr>
      <w:tr>
        <w:tc>
          <w:tcPr>
            <w:tcW w:type="dxa" w:w="4320"/>
            <w:vAlign w:val="center"/>
          </w:tcPr>
          <w:p>
            <w:r>
              <w:t>Учетные данные склада</w:t>
            </w:r>
          </w:p>
        </w:tc>
        <w:tc>
          <w:tcPr>
            <w:tcW w:type="dxa" w:w="4320"/>
            <w:vAlign w:val="center"/>
          </w:tcPr>
          <w:p>
            <w:r>
              <w:t>Сведения о наличии и движении комплектующих.</w:t>
            </w:r>
          </w:p>
        </w:tc>
      </w:tr>
      <w:tr>
        <w:tc>
          <w:tcPr>
            <w:tcW w:type="dxa" w:w="4320"/>
            <w:vAlign w:val="center"/>
          </w:tcPr>
          <w:p>
            <w:r>
              <w:t>Задание на выполнение</w:t>
            </w:r>
          </w:p>
        </w:tc>
        <w:tc>
          <w:tcPr>
            <w:tcW w:type="dxa" w:w="4320"/>
            <w:vAlign w:val="center"/>
          </w:tcPr>
          <w:p>
            <w:r>
              <w:t>Информационная передача заказа исполнителю.</w:t>
            </w:r>
          </w:p>
        </w:tc>
      </w:tr>
      <w:tr>
        <w:tc>
          <w:tcPr>
            <w:tcW w:type="dxa" w:w="4320"/>
            <w:vAlign w:val="center"/>
          </w:tcPr>
          <w:p>
            <w:r>
              <w:t>Форма фиксации SN</w:t>
            </w:r>
          </w:p>
        </w:tc>
        <w:tc>
          <w:tcPr>
            <w:tcW w:type="dxa" w:w="4320"/>
            <w:vAlign w:val="center"/>
          </w:tcPr>
          <w:p>
            <w:r>
              <w:t>Запись серийных номеров конкретных комплектующих.</w:t>
            </w:r>
          </w:p>
        </w:tc>
      </w:tr>
      <w:tr>
        <w:tc>
          <w:tcPr>
            <w:tcW w:type="dxa" w:w="4320"/>
            <w:vAlign w:val="center"/>
          </w:tcPr>
          <w:p>
            <w:r>
              <w:t>Результат диагностики</w:t>
            </w:r>
          </w:p>
        </w:tc>
        <w:tc>
          <w:tcPr>
            <w:tcW w:type="dxa" w:w="4320"/>
            <w:vAlign w:val="center"/>
          </w:tcPr>
          <w:p>
            <w:r>
              <w:t>Сведения о проверке работоспособности и замечаниях.</w:t>
            </w:r>
          </w:p>
        </w:tc>
      </w:tr>
      <w:tr>
        <w:tc>
          <w:tcPr>
            <w:tcW w:type="dxa" w:w="4320"/>
            <w:vAlign w:val="center"/>
          </w:tcPr>
          <w:p>
            <w:r>
              <w:t>Статусная запись</w:t>
            </w:r>
          </w:p>
        </w:tc>
        <w:tc>
          <w:tcPr>
            <w:tcW w:type="dxa" w:w="4320"/>
            <w:vAlign w:val="center"/>
          </w:tcPr>
          <w:p>
            <w:r>
              <w:t>Фиксация текущего состояния заказа.</w:t>
            </w:r>
          </w:p>
        </w:tc>
      </w:tr>
      <w:tr>
        <w:tc>
          <w:tcPr>
            <w:tcW w:type="dxa" w:w="4320"/>
            <w:vAlign w:val="center"/>
          </w:tcPr>
          <w:p>
            <w:r>
              <w:t>Отметка о готовности</w:t>
            </w:r>
          </w:p>
        </w:tc>
        <w:tc>
          <w:tcPr>
            <w:tcW w:type="dxa" w:w="4320"/>
            <w:vAlign w:val="center"/>
          </w:tcPr>
          <w:p>
            <w:r>
              <w:t>Финальная запись о готовности и передаче сведений.</w:t>
            </w:r>
          </w:p>
        </w:tc>
      </w:tr>
    </w:tbl>
    <w:p>
      <w:pPr>
        <w:spacing w:after="120"/>
        <w:ind w:firstLine="426"/>
      </w:pPr>
      <w:r>
        <w:rPr>
          <w:b w:val="0"/>
          <w:i w:val="0"/>
        </w:rPr>
        <w:t>К управленческим документам типового процесса относятся регламент обработки заказа, правила проверки состава конфигурации, правила фиксации серийных номеров, порядок фиксации результатов диагностики и правила смены статусов.</w:t>
      </w:r>
    </w:p>
    <w:p>
      <w:pPr>
        <w:spacing w:after="120"/>
        <w:ind w:firstLine="426"/>
      </w:pPr>
      <w:r>
        <w:rPr>
          <w:b w:val="0"/>
          <w:i w:val="0"/>
        </w:rPr>
        <w:t>Для формирования типовой структуры процесса можно опираться на APQC Process Classification Framework, ГОСТ Р ИСО 9000-2015, ГОСТ Р 7.0.8-2013 и методические материалы по дисциплине «Реинжиниринг бизнес-процессов» [3; 7; 8; 9].</w:t>
      </w:r>
    </w:p>
    <w:p>
      <w:pPr>
        <w:spacing w:after="120"/>
        <w:ind w:firstLine="0"/>
        <w:jc w:val="center"/>
      </w:pPr>
      <w:r>
        <w:rPr>
          <w:b w:val="0"/>
          <w:i/>
        </w:rPr>
        <w:t>Место для рисунка 1.2: Общая схема технологии информационного сопровождения заказа на поставку компьютерной системы. Схема будет подготовлена вручную.</w:t>
      </w:r>
    </w:p>
    <w:p>
      <w:pPr>
        <w:spacing w:after="120"/>
        <w:ind w:firstLine="426"/>
      </w:pPr>
      <w:r>
        <w:rPr>
          <w:b w:val="0"/>
          <w:i w:val="0"/>
        </w:rPr>
        <w:t>Таким образом, первый раздел задает предметную область исследования и границу анализа: моделируется и оценивается движение информации, а не физическое производство изделия.</w:t>
      </w:r>
    </w:p>
    <w:p>
      <w:pPr>
        <w:spacing w:after="120"/>
        <w:ind w:firstLine="0"/>
      </w:pPr>
      <w:r>
        <w:rPr>
          <w:b/>
          <w:i w:val="0"/>
        </w:rPr>
        <w:t>2 МОДЕЛИРОВАНИЕ БИЗНЕС-ПРОЦЕССА</w:t>
      </w:r>
    </w:p>
    <w:p>
      <w:pPr>
        <w:spacing w:after="120"/>
        <w:ind w:firstLine="0"/>
      </w:pPr>
      <w:r>
        <w:rPr>
          <w:b/>
          <w:i w:val="0"/>
        </w:rPr>
        <w:t>2.1 Структура бизнес-процесса</w:t>
      </w:r>
    </w:p>
    <w:p>
      <w:pPr>
        <w:spacing w:after="120"/>
        <w:ind w:firstLine="426"/>
      </w:pPr>
      <w:r>
        <w:rPr>
          <w:b w:val="0"/>
          <w:i w:val="0"/>
        </w:rPr>
        <w:t>Исследуемый бизнес-процесс относится к укрупненной области исполнения заказов клиентов. В терминах APQC он связан с управлением заказами, проверкой данных заказа, управлением информацией о ресурсах и передачей результата выполнения в следующий процесс [3].</w:t>
      </w:r>
    </w:p>
    <w:p>
      <w:pPr>
        <w:spacing w:after="120"/>
        <w:ind w:firstLine="426"/>
      </w:pPr>
      <w:r>
        <w:rPr>
          <w:b w:val="0"/>
          <w:i w:val="0"/>
        </w:rPr>
        <w:t>Функциональный контекст процесса задается областью «Исполнение заказов клиентов»: прием и регистрация заказов, проверка данных заказа, управление данными о комплектующих, сопровождение выполнения заказа, контроль результатов выполнения и передача сведений о готовности.</w:t>
      </w:r>
    </w:p>
    <w:p>
      <w:pPr>
        <w:spacing w:after="120"/>
        <w:ind w:firstLine="0"/>
        <w:jc w:val="center"/>
      </w:pPr>
      <w:r>
        <w:rPr>
          <w:b w:val="0"/>
          <w:i/>
        </w:rPr>
        <w:t>Место для рисунка 2.1: Дерево функций области исполнения заказов клиентов. Диаграмма будет подготовлена вручную.</w:t>
      </w:r>
    </w:p>
    <w:p>
      <w:pPr>
        <w:spacing w:after="120"/>
        <w:ind w:firstLine="426"/>
      </w:pPr>
      <w:r>
        <w:rPr>
          <w:b w:val="0"/>
          <w:i w:val="0"/>
        </w:rPr>
        <w:t>Границы бизнес-процесса определяются одним конкретным заказом. Инициирующее событие: заказ на компьютерную систему поступил в обработку. Завершающее событие: информация о готовности заказа и результатах выполнения передана в следующий процесс. Владельцем процесса является руководитель отдела производства. Исполнителями являются руководитель отдела производства, платформер, сборщик ПК, инженер тестирования компьютерной техники и упаковщик.</w:t>
      </w:r>
    </w:p>
    <w:p>
      <w:pPr>
        <w:spacing w:after="120"/>
        <w:ind w:firstLine="426"/>
      </w:pPr>
      <w:r>
        <w:rPr>
          <w:b w:val="0"/>
          <w:i w:val="0"/>
        </w:rPr>
        <w:t>Структура декомпозиции процесса (PBS) включает пять подпроцессов: принятие и первичная проверка заказа; подготовка информационного задания и данных о комплектующих; информационное сопровождение сборочного этапа; фиксация результатов диагностики; финальный контроль и передача сведений о готовности.</w:t>
      </w:r>
    </w:p>
    <w:p>
      <w:pPr>
        <w:spacing w:after="120"/>
        <w:ind w:firstLine="0"/>
        <w:jc w:val="center"/>
      </w:pPr>
      <w:r>
        <w:rPr>
          <w:b w:val="0"/>
          <w:i/>
        </w:rPr>
        <w:t>Место для рисунка 2.2: PBS/структура декомпозиции бизнес-процесса. Диаграмма будет подготовлена вручную.</w:t>
      </w:r>
    </w:p>
    <w:p>
      <w:pPr>
        <w:spacing w:after="120"/>
        <w:ind w:firstLine="426"/>
      </w:pPr>
      <w:r>
        <w:rPr>
          <w:b w:val="0"/>
          <w:i w:val="0"/>
        </w:rPr>
        <w:t>В таблице 2.1 приведена структура декомпозиции бизнес-процесса.</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tcPr>
          <w:p>
            <w:r>
              <w:rPr>
                <w:b/>
              </w:rPr>
              <w:t>Уровень PBS</w:t>
            </w:r>
          </w:p>
        </w:tc>
        <w:tc>
          <w:tcPr>
            <w:tcW w:type="dxa" w:w="2880"/>
            <w:vAlign w:val="center"/>
          </w:tcPr>
          <w:p>
            <w:r>
              <w:rPr>
                <w:b/>
              </w:rPr>
              <w:t>Элемент структуры</w:t>
            </w:r>
          </w:p>
        </w:tc>
        <w:tc>
          <w:tcPr>
            <w:tcW w:type="dxa" w:w="2880"/>
            <w:vAlign w:val="center"/>
          </w:tcPr>
          <w:p>
            <w:r>
              <w:rPr>
                <w:b/>
              </w:rPr>
              <w:t>Операции нижнего уровня</w:t>
            </w:r>
          </w:p>
        </w:tc>
      </w:tr>
      <w:tr>
        <w:tc>
          <w:tcPr>
            <w:tcW w:type="dxa" w:w="2880"/>
            <w:vAlign w:val="center"/>
          </w:tcPr>
          <w:p>
            <w:r>
              <w:t>0</w:t>
            </w:r>
          </w:p>
        </w:tc>
        <w:tc>
          <w:tcPr>
            <w:tcW w:type="dxa" w:w="2880"/>
            <w:vAlign w:val="center"/>
          </w:tcPr>
          <w:p>
            <w:r>
              <w:t>Сопровождение заказов на поставку компьютерных систем</w:t>
            </w:r>
          </w:p>
        </w:tc>
        <w:tc>
          <w:tcPr>
            <w:tcW w:type="dxa" w:w="2880"/>
            <w:vAlign w:val="center"/>
          </w:tcPr>
          <w:p>
            <w:r>
              <w:t>Получение, проверка, фиксация и передача данных по одному заказу</w:t>
            </w:r>
          </w:p>
        </w:tc>
      </w:tr>
      <w:tr>
        <w:tc>
          <w:tcPr>
            <w:tcW w:type="dxa" w:w="2880"/>
            <w:vAlign w:val="center"/>
          </w:tcPr>
          <w:p>
            <w:r>
              <w:t>1</w:t>
            </w:r>
          </w:p>
        </w:tc>
        <w:tc>
          <w:tcPr>
            <w:tcW w:type="dxa" w:w="2880"/>
            <w:vAlign w:val="center"/>
          </w:tcPr>
          <w:p>
            <w:r>
              <w:t>Принятие и первичная проверка заказа</w:t>
            </w:r>
          </w:p>
        </w:tc>
        <w:tc>
          <w:tcPr>
            <w:tcW w:type="dxa" w:w="2880"/>
            <w:vAlign w:val="center"/>
          </w:tcPr>
          <w:p>
            <w:r>
              <w:t>Получить заказ в CMS; проверить цену; проверить состав конфигурации; проверить статус заказа; принять заказ в работу</w:t>
            </w:r>
          </w:p>
        </w:tc>
      </w:tr>
      <w:tr>
        <w:tc>
          <w:tcPr>
            <w:tcW w:type="dxa" w:w="2880"/>
            <w:vAlign w:val="center"/>
          </w:tcPr>
          <w:p>
            <w:r>
              <w:t>1</w:t>
            </w:r>
          </w:p>
        </w:tc>
        <w:tc>
          <w:tcPr>
            <w:tcW w:type="dxa" w:w="2880"/>
            <w:vAlign w:val="center"/>
          </w:tcPr>
          <w:p>
            <w:r>
              <w:t>Подготовка информационного задания и данных о комплектующих</w:t>
            </w:r>
          </w:p>
        </w:tc>
        <w:tc>
          <w:tcPr>
            <w:tcW w:type="dxa" w:w="2880"/>
            <w:vAlign w:val="center"/>
          </w:tcPr>
          <w:p>
            <w:r>
              <w:t>Проверить учетные данные комплектующих; привязать комплектующие и SN; сформировать задание исполнителю</w:t>
            </w:r>
          </w:p>
        </w:tc>
      </w:tr>
      <w:tr>
        <w:tc>
          <w:tcPr>
            <w:tcW w:type="dxa" w:w="2880"/>
            <w:vAlign w:val="center"/>
          </w:tcPr>
          <w:p>
            <w:r>
              <w:t>1</w:t>
            </w:r>
          </w:p>
        </w:tc>
        <w:tc>
          <w:tcPr>
            <w:tcW w:type="dxa" w:w="2880"/>
            <w:vAlign w:val="center"/>
          </w:tcPr>
          <w:p>
            <w:r>
              <w:t>Информационное сопровождение сборочного этапа</w:t>
            </w:r>
          </w:p>
        </w:tc>
        <w:tc>
          <w:tcPr>
            <w:tcW w:type="dxa" w:w="2880"/>
            <w:vAlign w:val="center"/>
          </w:tcPr>
          <w:p>
            <w:r>
              <w:t>Зафиксировать завершение этапа платформера; зафиксировать завершение этапа сборщика ПК; передать статус на диагностику</w:t>
            </w:r>
          </w:p>
        </w:tc>
      </w:tr>
      <w:tr>
        <w:tc>
          <w:tcPr>
            <w:tcW w:type="dxa" w:w="2880"/>
            <w:vAlign w:val="center"/>
          </w:tcPr>
          <w:p>
            <w:r>
              <w:t>1</w:t>
            </w:r>
          </w:p>
        </w:tc>
        <w:tc>
          <w:tcPr>
            <w:tcW w:type="dxa" w:w="2880"/>
            <w:vAlign w:val="center"/>
          </w:tcPr>
          <w:p>
            <w:r>
              <w:t>Фиксация результатов диагностики</w:t>
            </w:r>
          </w:p>
        </w:tc>
        <w:tc>
          <w:tcPr>
            <w:tcW w:type="dxa" w:w="2880"/>
            <w:vAlign w:val="center"/>
          </w:tcPr>
          <w:p>
            <w:r>
              <w:t>Внести результаты диагностики; зафиксировать замечания или положительный результат; вернуть информацию на уточнение при замечаниях</w:t>
            </w:r>
          </w:p>
        </w:tc>
      </w:tr>
      <w:tr>
        <w:tc>
          <w:tcPr>
            <w:tcW w:type="dxa" w:w="2880"/>
            <w:vAlign w:val="center"/>
          </w:tcPr>
          <w:p>
            <w:r>
              <w:t>1</w:t>
            </w:r>
          </w:p>
        </w:tc>
        <w:tc>
          <w:tcPr>
            <w:tcW w:type="dxa" w:w="2880"/>
            <w:vAlign w:val="center"/>
          </w:tcPr>
          <w:p>
            <w:r>
              <w:t>Финальный контроль и передача сведений о готовности</w:t>
            </w:r>
          </w:p>
        </w:tc>
        <w:tc>
          <w:tcPr>
            <w:tcW w:type="dxa" w:w="2880"/>
            <w:vAlign w:val="center"/>
          </w:tcPr>
          <w:p>
            <w:r>
              <w:t>Проверить полноту карточки заказа; зафиксировать сведения о видеофиксации, комплектности и готовности; передать сведения в следующий процесс</w:t>
            </w:r>
          </w:p>
        </w:tc>
      </w:tr>
    </w:tbl>
    <w:p>
      <w:pPr>
        <w:spacing w:after="120"/>
        <w:ind w:firstLine="426"/>
      </w:pPr>
      <w:r>
        <w:rPr>
          <w:b w:val="0"/>
          <w:i w:val="0"/>
        </w:rPr>
        <w:t>В таблице 2.2 представлена общая структура ресурсных потоков бизнес-процесса.</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tcPr>
          <w:p>
            <w:r>
              <w:rPr>
                <w:b/>
              </w:rPr>
              <w:t>Подпроцесс</w:t>
            </w:r>
          </w:p>
        </w:tc>
        <w:tc>
          <w:tcPr>
            <w:tcW w:type="dxa" w:w="1728"/>
            <w:vAlign w:val="center"/>
          </w:tcPr>
          <w:p>
            <w:r>
              <w:rPr>
                <w:b/>
              </w:rPr>
              <w:t>Преобразуемые ресурсы</w:t>
            </w:r>
          </w:p>
        </w:tc>
        <w:tc>
          <w:tcPr>
            <w:tcW w:type="dxa" w:w="1728"/>
            <w:vAlign w:val="center"/>
          </w:tcPr>
          <w:p>
            <w:r>
              <w:rPr>
                <w:b/>
              </w:rPr>
              <w:t>Преобразованные ресурсы</w:t>
            </w:r>
          </w:p>
        </w:tc>
        <w:tc>
          <w:tcPr>
            <w:tcW w:type="dxa" w:w="1728"/>
            <w:vAlign w:val="center"/>
          </w:tcPr>
          <w:p>
            <w:r>
              <w:rPr>
                <w:b/>
              </w:rPr>
              <w:t>Обеспечивающие ресурсы</w:t>
            </w:r>
          </w:p>
        </w:tc>
        <w:tc>
          <w:tcPr>
            <w:tcW w:type="dxa" w:w="1728"/>
            <w:vAlign w:val="center"/>
          </w:tcPr>
          <w:p>
            <w:r>
              <w:rPr>
                <w:b/>
              </w:rPr>
              <w:t>Ресурсы управления</w:t>
            </w:r>
          </w:p>
        </w:tc>
      </w:tr>
      <w:tr>
        <w:tc>
          <w:tcPr>
            <w:tcW w:type="dxa" w:w="1728"/>
            <w:vAlign w:val="center"/>
          </w:tcPr>
          <w:p>
            <w:r>
              <w:t>Сопровождение заказов на поставку компьютерных систем</w:t>
            </w:r>
          </w:p>
        </w:tc>
        <w:tc>
          <w:tcPr>
            <w:tcW w:type="dxa" w:w="1728"/>
            <w:vAlign w:val="center"/>
          </w:tcPr>
          <w:p>
            <w:r>
              <w:t>Карточка заказа; спецификация; учетные данные склада; статус заказа</w:t>
            </w:r>
          </w:p>
        </w:tc>
        <w:tc>
          <w:tcPr>
            <w:tcW w:type="dxa" w:w="1728"/>
            <w:vAlign w:val="center"/>
          </w:tcPr>
          <w:p>
            <w:r>
              <w:t>Обновленная карточка; SN; результат диагностики; отметка о готовности</w:t>
            </w:r>
          </w:p>
        </w:tc>
        <w:tc>
          <w:tcPr>
            <w:tcW w:type="dxa" w:w="1728"/>
            <w:vAlign w:val="center"/>
          </w:tcPr>
          <w:p>
            <w:r>
              <w:t>Внутренняя CMS; рабочие места исполнителей; формы документов</w:t>
            </w:r>
          </w:p>
        </w:tc>
        <w:tc>
          <w:tcPr>
            <w:tcW w:type="dxa" w:w="1728"/>
            <w:vAlign w:val="center"/>
          </w:tcPr>
          <w:p>
            <w:r>
              <w:t>Регламент обработки заказа; правила проверки состава; правила фиксации SN; правила смены статусов</w:t>
            </w:r>
          </w:p>
        </w:tc>
      </w:tr>
    </w:tbl>
    <w:p>
      <w:pPr>
        <w:spacing w:after="120"/>
        <w:ind w:firstLine="426"/>
      </w:pPr>
      <w:r>
        <w:rPr>
          <w:b w:val="0"/>
          <w:i w:val="0"/>
        </w:rPr>
        <w:t>В таблице 2.3 приведены ресурсные потоки подпроцесса «Принятие и первичная проверка заказа».</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tcPr>
          <w:p>
            <w:r>
              <w:rPr>
                <w:b/>
              </w:rPr>
              <w:t>Функция</w:t>
            </w:r>
          </w:p>
        </w:tc>
        <w:tc>
          <w:tcPr>
            <w:tcW w:type="dxa" w:w="1728"/>
            <w:vAlign w:val="center"/>
          </w:tcPr>
          <w:p>
            <w:r>
              <w:rPr>
                <w:b/>
              </w:rPr>
              <w:t>Преобразуемые ресурсы</w:t>
            </w:r>
          </w:p>
        </w:tc>
        <w:tc>
          <w:tcPr>
            <w:tcW w:type="dxa" w:w="1728"/>
            <w:vAlign w:val="center"/>
          </w:tcPr>
          <w:p>
            <w:r>
              <w:rPr>
                <w:b/>
              </w:rPr>
              <w:t>Преобразованные ресурсы</w:t>
            </w:r>
          </w:p>
        </w:tc>
        <w:tc>
          <w:tcPr>
            <w:tcW w:type="dxa" w:w="1728"/>
            <w:vAlign w:val="center"/>
          </w:tcPr>
          <w:p>
            <w:r>
              <w:rPr>
                <w:b/>
              </w:rPr>
              <w:t>Обеспечивающие ресурсы</w:t>
            </w:r>
          </w:p>
        </w:tc>
        <w:tc>
          <w:tcPr>
            <w:tcW w:type="dxa" w:w="1728"/>
            <w:vAlign w:val="center"/>
          </w:tcPr>
          <w:p>
            <w:r>
              <w:rPr>
                <w:b/>
              </w:rPr>
              <w:t>Ресурсы управления</w:t>
            </w:r>
          </w:p>
        </w:tc>
      </w:tr>
      <w:tr>
        <w:tc>
          <w:tcPr>
            <w:tcW w:type="dxa" w:w="1728"/>
            <w:vAlign w:val="center"/>
          </w:tcPr>
          <w:p>
            <w:r>
              <w:t>Принятие и первичная проверка заказа</w:t>
            </w:r>
          </w:p>
        </w:tc>
        <w:tc>
          <w:tcPr>
            <w:tcW w:type="dxa" w:w="1728"/>
            <w:vAlign w:val="center"/>
          </w:tcPr>
          <w:p>
            <w:r>
              <w:t>Карточка заказа; цена заказа; спецификация конфигурации; текущий статус заказа</w:t>
            </w:r>
          </w:p>
        </w:tc>
        <w:tc>
          <w:tcPr>
            <w:tcW w:type="dxa" w:w="1728"/>
            <w:vAlign w:val="center"/>
          </w:tcPr>
          <w:p>
            <w:r>
              <w:t>Проверенная карточка заказа; подтвержденные цена, состав и статус; решение о принятии заказа в работу</w:t>
            </w:r>
          </w:p>
        </w:tc>
        <w:tc>
          <w:tcPr>
            <w:tcW w:type="dxa" w:w="1728"/>
            <w:vAlign w:val="center"/>
          </w:tcPr>
          <w:p>
            <w:r>
              <w:t>Внутренняя CMS; рабочее место руководителя отдела производства</w:t>
            </w:r>
          </w:p>
        </w:tc>
        <w:tc>
          <w:tcPr>
            <w:tcW w:type="dxa" w:w="1728"/>
            <w:vAlign w:val="center"/>
          </w:tcPr>
          <w:p>
            <w:r>
              <w:t>Регламент обработки заказа; правила проверки состава конфигурации; правила смены статусов</w:t>
            </w:r>
          </w:p>
        </w:tc>
      </w:tr>
    </w:tbl>
    <w:p>
      <w:pPr>
        <w:spacing w:after="120"/>
        <w:ind w:firstLine="426"/>
      </w:pPr>
      <w:r>
        <w:rPr>
          <w:b w:val="0"/>
          <w:i w:val="0"/>
        </w:rPr>
        <w:t>В таблице 2.4 приведены ресурсные потоки подпроцесса «Подготовка информационного задания и данных о комплектующих».</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tcPr>
          <w:p>
            <w:r>
              <w:rPr>
                <w:b/>
              </w:rPr>
              <w:t>Функция</w:t>
            </w:r>
          </w:p>
        </w:tc>
        <w:tc>
          <w:tcPr>
            <w:tcW w:type="dxa" w:w="1728"/>
            <w:vAlign w:val="center"/>
          </w:tcPr>
          <w:p>
            <w:r>
              <w:rPr>
                <w:b/>
              </w:rPr>
              <w:t>Преобразуемые ресурсы</w:t>
            </w:r>
          </w:p>
        </w:tc>
        <w:tc>
          <w:tcPr>
            <w:tcW w:type="dxa" w:w="1728"/>
            <w:vAlign w:val="center"/>
          </w:tcPr>
          <w:p>
            <w:r>
              <w:rPr>
                <w:b/>
              </w:rPr>
              <w:t>Преобразованные ресурсы</w:t>
            </w:r>
          </w:p>
        </w:tc>
        <w:tc>
          <w:tcPr>
            <w:tcW w:type="dxa" w:w="1728"/>
            <w:vAlign w:val="center"/>
          </w:tcPr>
          <w:p>
            <w:r>
              <w:rPr>
                <w:b/>
              </w:rPr>
              <w:t>Обеспечивающие ресурсы</w:t>
            </w:r>
          </w:p>
        </w:tc>
        <w:tc>
          <w:tcPr>
            <w:tcW w:type="dxa" w:w="1728"/>
            <w:vAlign w:val="center"/>
          </w:tcPr>
          <w:p>
            <w:r>
              <w:rPr>
                <w:b/>
              </w:rPr>
              <w:t>Ресурсы управления</w:t>
            </w:r>
          </w:p>
        </w:tc>
      </w:tr>
      <w:tr>
        <w:tc>
          <w:tcPr>
            <w:tcW w:type="dxa" w:w="1728"/>
            <w:vAlign w:val="center"/>
          </w:tcPr>
          <w:p>
            <w:r>
              <w:t>Подготовка информационного задания и данных о комплектующих</w:t>
            </w:r>
          </w:p>
        </w:tc>
        <w:tc>
          <w:tcPr>
            <w:tcW w:type="dxa" w:w="1728"/>
            <w:vAlign w:val="center"/>
          </w:tcPr>
          <w:p>
            <w:r>
              <w:t>Проверенная карточка заказа; спецификация конфигурации; учетные данные склада</w:t>
            </w:r>
          </w:p>
        </w:tc>
        <w:tc>
          <w:tcPr>
            <w:tcW w:type="dxa" w:w="1728"/>
            <w:vAlign w:val="center"/>
          </w:tcPr>
          <w:p>
            <w:r>
              <w:t>Задание на выполнение; перечень комплектующих; привязанные комплектующие и SN</w:t>
            </w:r>
          </w:p>
        </w:tc>
        <w:tc>
          <w:tcPr>
            <w:tcW w:type="dxa" w:w="1728"/>
            <w:vAlign w:val="center"/>
          </w:tcPr>
          <w:p>
            <w:r>
              <w:t>Внутренняя CMS; форма фиксации серийных номеров; рабочее место платформера</w:t>
            </w:r>
          </w:p>
        </w:tc>
        <w:tc>
          <w:tcPr>
            <w:tcW w:type="dxa" w:w="1728"/>
            <w:vAlign w:val="center"/>
          </w:tcPr>
          <w:p>
            <w:r>
              <w:t>Правила фиксации серийных номеров; правила проверки состава конфигурации</w:t>
            </w:r>
          </w:p>
        </w:tc>
      </w:tr>
    </w:tbl>
    <w:p>
      <w:pPr>
        <w:spacing w:after="120"/>
        <w:ind w:firstLine="426"/>
      </w:pPr>
      <w:r>
        <w:rPr>
          <w:b w:val="0"/>
          <w:i w:val="0"/>
        </w:rPr>
        <w:t>В таблице 2.5 приведены ресурсные потоки подпроцесса «Информационное сопровождение сборочного этапа».</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tcPr>
          <w:p>
            <w:r>
              <w:rPr>
                <w:b/>
              </w:rPr>
              <w:t>Функция</w:t>
            </w:r>
          </w:p>
        </w:tc>
        <w:tc>
          <w:tcPr>
            <w:tcW w:type="dxa" w:w="1728"/>
            <w:vAlign w:val="center"/>
          </w:tcPr>
          <w:p>
            <w:r>
              <w:rPr>
                <w:b/>
              </w:rPr>
              <w:t>Преобразуемые ресурсы</w:t>
            </w:r>
          </w:p>
        </w:tc>
        <w:tc>
          <w:tcPr>
            <w:tcW w:type="dxa" w:w="1728"/>
            <w:vAlign w:val="center"/>
          </w:tcPr>
          <w:p>
            <w:r>
              <w:rPr>
                <w:b/>
              </w:rPr>
              <w:t>Преобразованные ресурсы</w:t>
            </w:r>
          </w:p>
        </w:tc>
        <w:tc>
          <w:tcPr>
            <w:tcW w:type="dxa" w:w="1728"/>
            <w:vAlign w:val="center"/>
          </w:tcPr>
          <w:p>
            <w:r>
              <w:rPr>
                <w:b/>
              </w:rPr>
              <w:t>Обеспечивающие ресурсы</w:t>
            </w:r>
          </w:p>
        </w:tc>
        <w:tc>
          <w:tcPr>
            <w:tcW w:type="dxa" w:w="1728"/>
            <w:vAlign w:val="center"/>
          </w:tcPr>
          <w:p>
            <w:r>
              <w:rPr>
                <w:b/>
              </w:rPr>
              <w:t>Ресурсы управления</w:t>
            </w:r>
          </w:p>
        </w:tc>
      </w:tr>
      <w:tr>
        <w:tc>
          <w:tcPr>
            <w:tcW w:type="dxa" w:w="1728"/>
            <w:vAlign w:val="center"/>
          </w:tcPr>
          <w:p>
            <w:r>
              <w:t>Информационное сопровождение сборочного этапа</w:t>
            </w:r>
          </w:p>
        </w:tc>
        <w:tc>
          <w:tcPr>
            <w:tcW w:type="dxa" w:w="1728"/>
            <w:vAlign w:val="center"/>
          </w:tcPr>
          <w:p>
            <w:r>
              <w:t>Задание на выполнение; привязанные комплектующие и SN; статусная запись</w:t>
            </w:r>
          </w:p>
        </w:tc>
        <w:tc>
          <w:tcPr>
            <w:tcW w:type="dxa" w:w="1728"/>
            <w:vAlign w:val="center"/>
          </w:tcPr>
          <w:p>
            <w:r>
              <w:t>Отметка о завершении этапа платформера; отметка о завершении этапа сборщика ПК; статус передачи на диагностику</w:t>
            </w:r>
          </w:p>
        </w:tc>
        <w:tc>
          <w:tcPr>
            <w:tcW w:type="dxa" w:w="1728"/>
            <w:vAlign w:val="center"/>
          </w:tcPr>
          <w:p>
            <w:r>
              <w:t>Внутренняя CMS; рабочие места платформера и сборщика ПК</w:t>
            </w:r>
          </w:p>
        </w:tc>
        <w:tc>
          <w:tcPr>
            <w:tcW w:type="dxa" w:w="1728"/>
            <w:vAlign w:val="center"/>
          </w:tcPr>
          <w:p>
            <w:r>
              <w:t>Регламент обработки заказа; правила смены статусов</w:t>
            </w:r>
          </w:p>
        </w:tc>
      </w:tr>
    </w:tbl>
    <w:p>
      <w:pPr>
        <w:spacing w:after="120"/>
        <w:ind w:firstLine="426"/>
      </w:pPr>
      <w:r>
        <w:rPr>
          <w:b w:val="0"/>
          <w:i w:val="0"/>
        </w:rPr>
        <w:t>В таблице 2.6 приведены ресурсные потоки подпроцесса «Фиксация результатов диагностики».</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tcPr>
          <w:p>
            <w:r>
              <w:rPr>
                <w:b/>
              </w:rPr>
              <w:t>Функция</w:t>
            </w:r>
          </w:p>
        </w:tc>
        <w:tc>
          <w:tcPr>
            <w:tcW w:type="dxa" w:w="1728"/>
            <w:vAlign w:val="center"/>
          </w:tcPr>
          <w:p>
            <w:r>
              <w:rPr>
                <w:b/>
              </w:rPr>
              <w:t>Преобразуемые ресурсы</w:t>
            </w:r>
          </w:p>
        </w:tc>
        <w:tc>
          <w:tcPr>
            <w:tcW w:type="dxa" w:w="1728"/>
            <w:vAlign w:val="center"/>
          </w:tcPr>
          <w:p>
            <w:r>
              <w:rPr>
                <w:b/>
              </w:rPr>
              <w:t>Преобразованные ресурсы</w:t>
            </w:r>
          </w:p>
        </w:tc>
        <w:tc>
          <w:tcPr>
            <w:tcW w:type="dxa" w:w="1728"/>
            <w:vAlign w:val="center"/>
          </w:tcPr>
          <w:p>
            <w:r>
              <w:rPr>
                <w:b/>
              </w:rPr>
              <w:t>Обеспечивающие ресурсы</w:t>
            </w:r>
          </w:p>
        </w:tc>
        <w:tc>
          <w:tcPr>
            <w:tcW w:type="dxa" w:w="1728"/>
            <w:vAlign w:val="center"/>
          </w:tcPr>
          <w:p>
            <w:r>
              <w:rPr>
                <w:b/>
              </w:rPr>
              <w:t>Ресурсы управления</w:t>
            </w:r>
          </w:p>
        </w:tc>
      </w:tr>
      <w:tr>
        <w:tc>
          <w:tcPr>
            <w:tcW w:type="dxa" w:w="1728"/>
            <w:vAlign w:val="center"/>
          </w:tcPr>
          <w:p>
            <w:r>
              <w:t>Фиксация результатов диагностики</w:t>
            </w:r>
          </w:p>
        </w:tc>
        <w:tc>
          <w:tcPr>
            <w:tcW w:type="dxa" w:w="1728"/>
            <w:vAlign w:val="center"/>
          </w:tcPr>
          <w:p>
            <w:r>
              <w:t>Статус передачи на диагностику; данные диагностических утилит; карточка заказа</w:t>
            </w:r>
          </w:p>
        </w:tc>
        <w:tc>
          <w:tcPr>
            <w:tcW w:type="dxa" w:w="1728"/>
            <w:vAlign w:val="center"/>
          </w:tcPr>
          <w:p>
            <w:r>
              <w:t>Результат диагностики; запись о замечаниях или положительном результате; решение о возврате на уточнение или передаче дальше</w:t>
            </w:r>
          </w:p>
        </w:tc>
        <w:tc>
          <w:tcPr>
            <w:tcW w:type="dxa" w:w="1728"/>
            <w:vAlign w:val="center"/>
          </w:tcPr>
          <w:p>
            <w:r>
              <w:t>Внутренняя CMS; AIDA64; FurMark; CrystalDiskInfo/CrystalDiskMark; OCCT; рабочее место инженера тестирования</w:t>
            </w:r>
          </w:p>
        </w:tc>
        <w:tc>
          <w:tcPr>
            <w:tcW w:type="dxa" w:w="1728"/>
            <w:vAlign w:val="center"/>
          </w:tcPr>
          <w:p>
            <w:r>
              <w:t>Порядок фиксации результатов диагностики; правила обработки замечаний; правила смены статусов</w:t>
            </w:r>
          </w:p>
        </w:tc>
      </w:tr>
    </w:tbl>
    <w:p>
      <w:pPr>
        <w:spacing w:after="120"/>
        <w:ind w:firstLine="426"/>
      </w:pPr>
      <w:r>
        <w:rPr>
          <w:b w:val="0"/>
          <w:i w:val="0"/>
        </w:rPr>
        <w:t>В таблице 2.7 приведены ресурсные потоки подпроцесса «Финальный контроль и передача сведений о готовности».</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tcPr>
          <w:p>
            <w:r>
              <w:rPr>
                <w:b/>
              </w:rPr>
              <w:t>Функция</w:t>
            </w:r>
          </w:p>
        </w:tc>
        <w:tc>
          <w:tcPr>
            <w:tcW w:type="dxa" w:w="1728"/>
            <w:vAlign w:val="center"/>
          </w:tcPr>
          <w:p>
            <w:r>
              <w:rPr>
                <w:b/>
              </w:rPr>
              <w:t>Преобразуемые ресурсы</w:t>
            </w:r>
          </w:p>
        </w:tc>
        <w:tc>
          <w:tcPr>
            <w:tcW w:type="dxa" w:w="1728"/>
            <w:vAlign w:val="center"/>
          </w:tcPr>
          <w:p>
            <w:r>
              <w:rPr>
                <w:b/>
              </w:rPr>
              <w:t>Преобразованные ресурсы</w:t>
            </w:r>
          </w:p>
        </w:tc>
        <w:tc>
          <w:tcPr>
            <w:tcW w:type="dxa" w:w="1728"/>
            <w:vAlign w:val="center"/>
          </w:tcPr>
          <w:p>
            <w:r>
              <w:rPr>
                <w:b/>
              </w:rPr>
              <w:t>Обеспечивающие ресурсы</w:t>
            </w:r>
          </w:p>
        </w:tc>
        <w:tc>
          <w:tcPr>
            <w:tcW w:type="dxa" w:w="1728"/>
            <w:vAlign w:val="center"/>
          </w:tcPr>
          <w:p>
            <w:r>
              <w:rPr>
                <w:b/>
              </w:rPr>
              <w:t>Ресурсы управления</w:t>
            </w:r>
          </w:p>
        </w:tc>
      </w:tr>
      <w:tr>
        <w:tc>
          <w:tcPr>
            <w:tcW w:type="dxa" w:w="1728"/>
            <w:vAlign w:val="center"/>
          </w:tcPr>
          <w:p>
            <w:r>
              <w:t>Финальный контроль и передача сведений о готовности</w:t>
            </w:r>
          </w:p>
        </w:tc>
        <w:tc>
          <w:tcPr>
            <w:tcW w:type="dxa" w:w="1728"/>
            <w:vAlign w:val="center"/>
          </w:tcPr>
          <w:p>
            <w:r>
              <w:t>Обновленная карточка заказа; результат диагностики; сведения о видеофиксации и комплектности; статусная запись</w:t>
            </w:r>
          </w:p>
        </w:tc>
        <w:tc>
          <w:tcPr>
            <w:tcW w:type="dxa" w:w="1728"/>
            <w:vAlign w:val="center"/>
          </w:tcPr>
          <w:p>
            <w:r>
              <w:t>Проверенная карточка заказа; отметка о готовности; сведения, переданные в следующий процесс</w:t>
            </w:r>
          </w:p>
        </w:tc>
        <w:tc>
          <w:tcPr>
            <w:tcW w:type="dxa" w:w="1728"/>
            <w:vAlign w:val="center"/>
          </w:tcPr>
          <w:p>
            <w:r>
              <w:t>Внутренняя CMS; форма передачи сведений; рабочее место упаковщика и руководителя отдела производства</w:t>
            </w:r>
          </w:p>
        </w:tc>
        <w:tc>
          <w:tcPr>
            <w:tcW w:type="dxa" w:w="1728"/>
            <w:vAlign w:val="center"/>
          </w:tcPr>
          <w:p>
            <w:r>
              <w:t>Регламент обработки заказа; правила финального контроля полноты данных; правила смены статусов</w:t>
            </w:r>
          </w:p>
        </w:tc>
      </w:tr>
    </w:tbl>
    <w:p>
      <w:pPr>
        <w:spacing w:after="120"/>
        <w:ind w:firstLine="426"/>
      </w:pPr>
      <w:r>
        <w:rPr>
          <w:b w:val="0"/>
          <w:i w:val="0"/>
        </w:rPr>
        <w:t>В таблице 2.8 приведено краткое описание ресурсов, используемых в процессе.</w:t>
      </w:r>
    </w:p>
    <w:tbl>
      <w:tblPr>
        <w:tblStyle w:val="TableGrid"/>
        <w:tblW w:type="auto" w:w="0"/>
        <w:jc w:val="center"/>
        <w:tblLook w:firstColumn="1" w:firstRow="1" w:lastColumn="0" w:lastRow="0" w:noHBand="0" w:noVBand="1" w:val="04A0"/>
      </w:tblPr>
      <w:tblGrid>
        <w:gridCol w:w="4320"/>
        <w:gridCol w:w="4320"/>
      </w:tblGrid>
      <w:tr>
        <w:tc>
          <w:tcPr>
            <w:tcW w:type="dxa" w:w="4320"/>
            <w:vAlign w:val="center"/>
          </w:tcPr>
          <w:p>
            <w:r>
              <w:rPr>
                <w:b/>
              </w:rPr>
              <w:t>Ресурс</w:t>
            </w:r>
          </w:p>
        </w:tc>
        <w:tc>
          <w:tcPr>
            <w:tcW w:type="dxa" w:w="4320"/>
            <w:vAlign w:val="center"/>
          </w:tcPr>
          <w:p>
            <w:r>
              <w:rPr>
                <w:b/>
              </w:rPr>
              <w:t>Краткое описание</w:t>
            </w:r>
          </w:p>
        </w:tc>
      </w:tr>
      <w:tr>
        <w:tc>
          <w:tcPr>
            <w:tcW w:type="dxa" w:w="4320"/>
            <w:vAlign w:val="center"/>
          </w:tcPr>
          <w:p>
            <w:r>
              <w:t>Карточка заказа</w:t>
            </w:r>
          </w:p>
        </w:tc>
        <w:tc>
          <w:tcPr>
            <w:tcW w:type="dxa" w:w="4320"/>
            <w:vAlign w:val="center"/>
          </w:tcPr>
          <w:p>
            <w:r>
              <w:t>Основная информационная запись о заказе.</w:t>
            </w:r>
          </w:p>
        </w:tc>
      </w:tr>
      <w:tr>
        <w:tc>
          <w:tcPr>
            <w:tcW w:type="dxa" w:w="4320"/>
            <w:vAlign w:val="center"/>
          </w:tcPr>
          <w:p>
            <w:r>
              <w:t>Спецификация конфигурации</w:t>
            </w:r>
          </w:p>
        </w:tc>
        <w:tc>
          <w:tcPr>
            <w:tcW w:type="dxa" w:w="4320"/>
            <w:vAlign w:val="center"/>
          </w:tcPr>
          <w:p>
            <w:r>
              <w:t>Состав и характеристики компьютерной системы.</w:t>
            </w:r>
          </w:p>
        </w:tc>
      </w:tr>
      <w:tr>
        <w:tc>
          <w:tcPr>
            <w:tcW w:type="dxa" w:w="4320"/>
            <w:vAlign w:val="center"/>
          </w:tcPr>
          <w:p>
            <w:r>
              <w:t>Учетные данные склада</w:t>
            </w:r>
          </w:p>
        </w:tc>
        <w:tc>
          <w:tcPr>
            <w:tcW w:type="dxa" w:w="4320"/>
            <w:vAlign w:val="center"/>
          </w:tcPr>
          <w:p>
            <w:r>
              <w:t>Сведения о наличии и движении комплектующих.</w:t>
            </w:r>
          </w:p>
        </w:tc>
      </w:tr>
      <w:tr>
        <w:tc>
          <w:tcPr>
            <w:tcW w:type="dxa" w:w="4320"/>
            <w:vAlign w:val="center"/>
          </w:tcPr>
          <w:p>
            <w:r>
              <w:t>Форма фиксации SN</w:t>
            </w:r>
          </w:p>
        </w:tc>
        <w:tc>
          <w:tcPr>
            <w:tcW w:type="dxa" w:w="4320"/>
            <w:vAlign w:val="center"/>
          </w:tcPr>
          <w:p>
            <w:r>
              <w:t>Инструмент привязки конкретных комплектующих к заказу.</w:t>
            </w:r>
          </w:p>
        </w:tc>
      </w:tr>
      <w:tr>
        <w:tc>
          <w:tcPr>
            <w:tcW w:type="dxa" w:w="4320"/>
            <w:vAlign w:val="center"/>
          </w:tcPr>
          <w:p>
            <w:r>
              <w:t>Результат диагностики</w:t>
            </w:r>
          </w:p>
        </w:tc>
        <w:tc>
          <w:tcPr>
            <w:tcW w:type="dxa" w:w="4320"/>
            <w:vAlign w:val="center"/>
          </w:tcPr>
          <w:p>
            <w:r>
              <w:t>Информационный итог проверки работоспособности.</w:t>
            </w:r>
          </w:p>
        </w:tc>
      </w:tr>
      <w:tr>
        <w:tc>
          <w:tcPr>
            <w:tcW w:type="dxa" w:w="4320"/>
            <w:vAlign w:val="center"/>
          </w:tcPr>
          <w:p>
            <w:r>
              <w:t>Внутренняя CMS</w:t>
            </w:r>
          </w:p>
        </w:tc>
        <w:tc>
          <w:tcPr>
            <w:tcW w:type="dxa" w:w="4320"/>
            <w:vAlign w:val="center"/>
          </w:tcPr>
          <w:p>
            <w:r>
              <w:t>Система фиксации и передачи информации.</w:t>
            </w:r>
          </w:p>
        </w:tc>
      </w:tr>
    </w:tbl>
    <w:p>
      <w:pPr>
        <w:spacing w:after="120"/>
        <w:ind w:firstLine="426"/>
      </w:pPr>
      <w:r>
        <w:rPr>
          <w:b w:val="0"/>
          <w:i w:val="0"/>
        </w:rPr>
        <w:t>В таблице 2.9 сформулированы промежуточные события бизнес-процесса.</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tcPr>
          <w:p>
            <w:r>
              <w:rPr>
                <w:b/>
              </w:rPr>
              <w:t>Подпроцесс</w:t>
            </w:r>
          </w:p>
        </w:tc>
        <w:tc>
          <w:tcPr>
            <w:tcW w:type="dxa" w:w="2880"/>
            <w:vAlign w:val="center"/>
          </w:tcPr>
          <w:p>
            <w:r>
              <w:rPr>
                <w:b/>
              </w:rPr>
              <w:t>Инициирующее событие</w:t>
            </w:r>
          </w:p>
        </w:tc>
        <w:tc>
          <w:tcPr>
            <w:tcW w:type="dxa" w:w="2880"/>
            <w:vAlign w:val="center"/>
          </w:tcPr>
          <w:p>
            <w:r>
              <w:rPr>
                <w:b/>
              </w:rPr>
              <w:t>Завершающее событие</w:t>
            </w:r>
          </w:p>
        </w:tc>
      </w:tr>
      <w:tr>
        <w:tc>
          <w:tcPr>
            <w:tcW w:type="dxa" w:w="2880"/>
            <w:vAlign w:val="center"/>
          </w:tcPr>
          <w:p>
            <w:r>
              <w:t>Принятие заказа</w:t>
            </w:r>
          </w:p>
        </w:tc>
        <w:tc>
          <w:tcPr>
            <w:tcW w:type="dxa" w:w="2880"/>
            <w:vAlign w:val="center"/>
          </w:tcPr>
          <w:p>
            <w:r>
              <w:t>Заказ поступил в обработку</w:t>
            </w:r>
          </w:p>
        </w:tc>
        <w:tc>
          <w:tcPr>
            <w:tcW w:type="dxa" w:w="2880"/>
            <w:vAlign w:val="center"/>
          </w:tcPr>
          <w:p>
            <w:r>
              <w:t>Заказ принят в работу</w:t>
            </w:r>
          </w:p>
        </w:tc>
      </w:tr>
      <w:tr>
        <w:tc>
          <w:tcPr>
            <w:tcW w:type="dxa" w:w="2880"/>
            <w:vAlign w:val="center"/>
          </w:tcPr>
          <w:p>
            <w:r>
              <w:t>Подготовка задания</w:t>
            </w:r>
          </w:p>
        </w:tc>
        <w:tc>
          <w:tcPr>
            <w:tcW w:type="dxa" w:w="2880"/>
            <w:vAlign w:val="center"/>
          </w:tcPr>
          <w:p>
            <w:r>
              <w:t>Данные заказа подтверждены</w:t>
            </w:r>
          </w:p>
        </w:tc>
        <w:tc>
          <w:tcPr>
            <w:tcW w:type="dxa" w:w="2880"/>
            <w:vAlign w:val="center"/>
          </w:tcPr>
          <w:p>
            <w:r>
              <w:t>Задание и SN подготовлены</w:t>
            </w:r>
          </w:p>
        </w:tc>
      </w:tr>
      <w:tr>
        <w:tc>
          <w:tcPr>
            <w:tcW w:type="dxa" w:w="2880"/>
            <w:vAlign w:val="center"/>
          </w:tcPr>
          <w:p>
            <w:r>
              <w:t>Сборочный этап</w:t>
            </w:r>
          </w:p>
        </w:tc>
        <w:tc>
          <w:tcPr>
            <w:tcW w:type="dxa" w:w="2880"/>
            <w:vAlign w:val="center"/>
          </w:tcPr>
          <w:p>
            <w:r>
              <w:t>Задание передано исполнителям</w:t>
            </w:r>
          </w:p>
        </w:tc>
        <w:tc>
          <w:tcPr>
            <w:tcW w:type="dxa" w:w="2880"/>
            <w:vAlign w:val="center"/>
          </w:tcPr>
          <w:p>
            <w:r>
              <w:t>Статус передан на диагностику</w:t>
            </w:r>
          </w:p>
        </w:tc>
      </w:tr>
      <w:tr>
        <w:tc>
          <w:tcPr>
            <w:tcW w:type="dxa" w:w="2880"/>
            <w:vAlign w:val="center"/>
          </w:tcPr>
          <w:p>
            <w:r>
              <w:t>Диагностика</w:t>
            </w:r>
          </w:p>
        </w:tc>
        <w:tc>
          <w:tcPr>
            <w:tcW w:type="dxa" w:w="2880"/>
            <w:vAlign w:val="center"/>
          </w:tcPr>
          <w:p>
            <w:r>
              <w:t>Заказ передан на диагностику</w:t>
            </w:r>
          </w:p>
        </w:tc>
        <w:tc>
          <w:tcPr>
            <w:tcW w:type="dxa" w:w="2880"/>
            <w:vAlign w:val="center"/>
          </w:tcPr>
          <w:p>
            <w:r>
              <w:t>Результаты диагностики зафиксированы</w:t>
            </w:r>
          </w:p>
        </w:tc>
      </w:tr>
      <w:tr>
        <w:tc>
          <w:tcPr>
            <w:tcW w:type="dxa" w:w="2880"/>
            <w:vAlign w:val="center"/>
          </w:tcPr>
          <w:p>
            <w:r>
              <w:t>Финальный контроль</w:t>
            </w:r>
          </w:p>
        </w:tc>
        <w:tc>
          <w:tcPr>
            <w:tcW w:type="dxa" w:w="2880"/>
            <w:vAlign w:val="center"/>
          </w:tcPr>
          <w:p>
            <w:r>
              <w:t>Результаты диагностики зафиксированы</w:t>
            </w:r>
          </w:p>
        </w:tc>
        <w:tc>
          <w:tcPr>
            <w:tcW w:type="dxa" w:w="2880"/>
            <w:vAlign w:val="center"/>
          </w:tcPr>
          <w:p>
            <w:r>
              <w:t>Информация о готовности передана дальше</w:t>
            </w:r>
          </w:p>
        </w:tc>
      </w:tr>
    </w:tbl>
    <w:p>
      <w:pPr>
        <w:spacing w:after="120"/>
        <w:ind w:firstLine="426"/>
      </w:pPr>
      <w:r>
        <w:rPr>
          <w:b w:val="0"/>
          <w:i w:val="0"/>
        </w:rPr>
        <w:t>В таблице 2.10 приведена матрица ролей участников процесса.</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vAlign w:val="center"/>
          </w:tcPr>
          <w:p>
            <w:r>
              <w:rPr>
                <w:b/>
              </w:rPr>
              <w:t>Подпроцесс</w:t>
            </w:r>
          </w:p>
        </w:tc>
        <w:tc>
          <w:tcPr>
            <w:tcW w:type="dxa" w:w="1440"/>
            <w:vAlign w:val="center"/>
          </w:tcPr>
          <w:p>
            <w:r>
              <w:rPr>
                <w:b/>
              </w:rPr>
              <w:t>Руководитель отдела производства</w:t>
            </w:r>
          </w:p>
        </w:tc>
        <w:tc>
          <w:tcPr>
            <w:tcW w:type="dxa" w:w="1440"/>
            <w:vAlign w:val="center"/>
          </w:tcPr>
          <w:p>
            <w:r>
              <w:rPr>
                <w:b/>
              </w:rPr>
              <w:t>Платформер</w:t>
            </w:r>
          </w:p>
        </w:tc>
        <w:tc>
          <w:tcPr>
            <w:tcW w:type="dxa" w:w="1440"/>
            <w:vAlign w:val="center"/>
          </w:tcPr>
          <w:p>
            <w:r>
              <w:rPr>
                <w:b/>
              </w:rPr>
              <w:t>Сборщик ПК</w:t>
            </w:r>
          </w:p>
        </w:tc>
        <w:tc>
          <w:tcPr>
            <w:tcW w:type="dxa" w:w="1440"/>
            <w:vAlign w:val="center"/>
          </w:tcPr>
          <w:p>
            <w:r>
              <w:rPr>
                <w:b/>
              </w:rPr>
              <w:t>Инженер тестирования</w:t>
            </w:r>
          </w:p>
        </w:tc>
        <w:tc>
          <w:tcPr>
            <w:tcW w:type="dxa" w:w="1440"/>
            <w:vAlign w:val="center"/>
          </w:tcPr>
          <w:p>
            <w:r>
              <w:rPr>
                <w:b/>
              </w:rPr>
              <w:t>Упаковщик</w:t>
            </w:r>
          </w:p>
        </w:tc>
      </w:tr>
      <w:tr>
        <w:tc>
          <w:tcPr>
            <w:tcW w:type="dxa" w:w="1440"/>
            <w:vAlign w:val="center"/>
          </w:tcPr>
          <w:p>
            <w:r>
              <w:t>Принятие заказа</w:t>
            </w:r>
          </w:p>
        </w:tc>
        <w:tc>
          <w:tcPr>
            <w:tcW w:type="dxa" w:w="1440"/>
            <w:vAlign w:val="center"/>
          </w:tcPr>
          <w:p>
            <w:r>
              <w:t>И/О</w:t>
            </w:r>
          </w:p>
        </w:tc>
        <w:tc>
          <w:tcPr>
            <w:tcW w:type="dxa" w:w="1440"/>
            <w:vAlign w:val="center"/>
          </w:tcPr>
          <w:p>
            <w:r/>
          </w:p>
        </w:tc>
        <w:tc>
          <w:tcPr>
            <w:tcW w:type="dxa" w:w="1440"/>
            <w:vAlign w:val="center"/>
          </w:tcPr>
          <w:p>
            <w:r/>
          </w:p>
        </w:tc>
        <w:tc>
          <w:tcPr>
            <w:tcW w:type="dxa" w:w="1440"/>
            <w:vAlign w:val="center"/>
          </w:tcPr>
          <w:p>
            <w:r/>
          </w:p>
        </w:tc>
        <w:tc>
          <w:tcPr>
            <w:tcW w:type="dxa" w:w="1440"/>
            <w:vAlign w:val="center"/>
          </w:tcPr>
          <w:p>
            <w:r/>
          </w:p>
        </w:tc>
      </w:tr>
      <w:tr>
        <w:tc>
          <w:tcPr>
            <w:tcW w:type="dxa" w:w="1440"/>
            <w:vAlign w:val="center"/>
          </w:tcPr>
          <w:p>
            <w:r>
              <w:t>Подготовка задания</w:t>
            </w:r>
          </w:p>
        </w:tc>
        <w:tc>
          <w:tcPr>
            <w:tcW w:type="dxa" w:w="1440"/>
            <w:vAlign w:val="center"/>
          </w:tcPr>
          <w:p>
            <w:r>
              <w:t>О</w:t>
            </w:r>
          </w:p>
        </w:tc>
        <w:tc>
          <w:tcPr>
            <w:tcW w:type="dxa" w:w="1440"/>
            <w:vAlign w:val="center"/>
          </w:tcPr>
          <w:p>
            <w:r>
              <w:t>И</w:t>
            </w:r>
          </w:p>
        </w:tc>
        <w:tc>
          <w:tcPr>
            <w:tcW w:type="dxa" w:w="1440"/>
            <w:vAlign w:val="center"/>
          </w:tcPr>
          <w:p>
            <w:r/>
          </w:p>
        </w:tc>
        <w:tc>
          <w:tcPr>
            <w:tcW w:type="dxa" w:w="1440"/>
            <w:vAlign w:val="center"/>
          </w:tcPr>
          <w:p>
            <w:r/>
          </w:p>
        </w:tc>
        <w:tc>
          <w:tcPr>
            <w:tcW w:type="dxa" w:w="1440"/>
            <w:vAlign w:val="center"/>
          </w:tcPr>
          <w:p>
            <w:r/>
          </w:p>
        </w:tc>
      </w:tr>
      <w:tr>
        <w:tc>
          <w:tcPr>
            <w:tcW w:type="dxa" w:w="1440"/>
            <w:vAlign w:val="center"/>
          </w:tcPr>
          <w:p>
            <w:r>
              <w:t>Сборочный этап</w:t>
            </w:r>
          </w:p>
        </w:tc>
        <w:tc>
          <w:tcPr>
            <w:tcW w:type="dxa" w:w="1440"/>
            <w:vAlign w:val="center"/>
          </w:tcPr>
          <w:p>
            <w:r/>
          </w:p>
        </w:tc>
        <w:tc>
          <w:tcPr>
            <w:tcW w:type="dxa" w:w="1440"/>
            <w:vAlign w:val="center"/>
          </w:tcPr>
          <w:p>
            <w:r>
              <w:t>И</w:t>
            </w:r>
          </w:p>
        </w:tc>
        <w:tc>
          <w:tcPr>
            <w:tcW w:type="dxa" w:w="1440"/>
            <w:vAlign w:val="center"/>
          </w:tcPr>
          <w:p>
            <w:r>
              <w:t>И</w:t>
            </w:r>
          </w:p>
        </w:tc>
        <w:tc>
          <w:tcPr>
            <w:tcW w:type="dxa" w:w="1440"/>
            <w:vAlign w:val="center"/>
          </w:tcPr>
          <w:p>
            <w:r/>
          </w:p>
        </w:tc>
        <w:tc>
          <w:tcPr>
            <w:tcW w:type="dxa" w:w="1440"/>
            <w:vAlign w:val="center"/>
          </w:tcPr>
          <w:p>
            <w:r/>
          </w:p>
        </w:tc>
      </w:tr>
      <w:tr>
        <w:tc>
          <w:tcPr>
            <w:tcW w:type="dxa" w:w="1440"/>
            <w:vAlign w:val="center"/>
          </w:tcPr>
          <w:p>
            <w:r>
              <w:t>Диагностика</w:t>
            </w:r>
          </w:p>
        </w:tc>
        <w:tc>
          <w:tcPr>
            <w:tcW w:type="dxa" w:w="1440"/>
            <w:vAlign w:val="center"/>
          </w:tcPr>
          <w:p>
            <w:r>
              <w:t>О</w:t>
            </w:r>
          </w:p>
        </w:tc>
        <w:tc>
          <w:tcPr>
            <w:tcW w:type="dxa" w:w="1440"/>
            <w:vAlign w:val="center"/>
          </w:tcPr>
          <w:p>
            <w:r/>
          </w:p>
        </w:tc>
        <w:tc>
          <w:tcPr>
            <w:tcW w:type="dxa" w:w="1440"/>
            <w:vAlign w:val="center"/>
          </w:tcPr>
          <w:p>
            <w:r/>
          </w:p>
        </w:tc>
        <w:tc>
          <w:tcPr>
            <w:tcW w:type="dxa" w:w="1440"/>
            <w:vAlign w:val="center"/>
          </w:tcPr>
          <w:p>
            <w:r>
              <w:t>И</w:t>
            </w:r>
          </w:p>
        </w:tc>
        <w:tc>
          <w:tcPr>
            <w:tcW w:type="dxa" w:w="1440"/>
            <w:vAlign w:val="center"/>
          </w:tcPr>
          <w:p>
            <w:r/>
          </w:p>
        </w:tc>
      </w:tr>
      <w:tr>
        <w:tc>
          <w:tcPr>
            <w:tcW w:type="dxa" w:w="1440"/>
            <w:vAlign w:val="center"/>
          </w:tcPr>
          <w:p>
            <w:r>
              <w:t>Финальный контроль</w:t>
            </w:r>
          </w:p>
        </w:tc>
        <w:tc>
          <w:tcPr>
            <w:tcW w:type="dxa" w:w="1440"/>
            <w:vAlign w:val="center"/>
          </w:tcPr>
          <w:p>
            <w:r>
              <w:t>О</w:t>
            </w:r>
          </w:p>
        </w:tc>
        <w:tc>
          <w:tcPr>
            <w:tcW w:type="dxa" w:w="1440"/>
            <w:vAlign w:val="center"/>
          </w:tcPr>
          <w:p>
            <w:r/>
          </w:p>
        </w:tc>
        <w:tc>
          <w:tcPr>
            <w:tcW w:type="dxa" w:w="1440"/>
            <w:vAlign w:val="center"/>
          </w:tcPr>
          <w:p>
            <w:r/>
          </w:p>
        </w:tc>
        <w:tc>
          <w:tcPr>
            <w:tcW w:type="dxa" w:w="1440"/>
            <w:vAlign w:val="center"/>
          </w:tcPr>
          <w:p>
            <w:r/>
          </w:p>
        </w:tc>
        <w:tc>
          <w:tcPr>
            <w:tcW w:type="dxa" w:w="1440"/>
            <w:vAlign w:val="center"/>
          </w:tcPr>
          <w:p>
            <w:r>
              <w:t>И</w:t>
            </w:r>
          </w:p>
        </w:tc>
      </w:tr>
    </w:tbl>
    <w:p>
      <w:pPr>
        <w:spacing w:after="120"/>
        <w:ind w:firstLine="0"/>
      </w:pPr>
      <w:r>
        <w:rPr>
          <w:b/>
          <w:i w:val="0"/>
        </w:rPr>
        <w:t>2.2 Модель бизнес-процесса (as-is)</w:t>
      </w:r>
    </w:p>
    <w:p>
      <w:pPr>
        <w:spacing w:after="120"/>
        <w:ind w:firstLine="426"/>
      </w:pPr>
      <w:r>
        <w:rPr>
          <w:b w:val="0"/>
          <w:i w:val="0"/>
        </w:rPr>
        <w:t>Модель as-is описывает существующую технологию информационного сопровождения одного заказа на поставку компьютерной системы. В модели фиксируются только операции получения, проверки, преобразования, внесения и передачи данных. Физическая сборка, физическое тестирование, упаковка и доставка не включаются в трудоемкость процесса, но отдельные информационные отметки по этим этапам используются как события и результаты процесса.</w:t>
      </w:r>
    </w:p>
    <w:p>
      <w:pPr>
        <w:spacing w:after="120"/>
        <w:ind w:firstLine="426"/>
      </w:pPr>
      <w:r>
        <w:rPr>
          <w:b w:val="0"/>
          <w:i w:val="0"/>
        </w:rPr>
        <w:t>Процесс начинается с получения заказа в CMS. Руководитель отдела производства последовательно получает заказ, проверяет цену, проверяет состав конфигурации, проверяет статус заказа и принимает заказ в работу. Далее платформер проверяет учетные данные комплектующих, привязывает комплектующие и серийные номера, после чего фиксируется завершение его этапа. Сборщик ПК фиксирует информационный результат своего этапа, инженер тестирования вносит результаты диагностики, а упаковщик фиксирует комплектность, готовность и передачу сведений в следующий процесс.</w:t>
      </w:r>
    </w:p>
    <w:p>
      <w:pPr>
        <w:spacing w:after="120"/>
        <w:ind w:firstLine="426"/>
      </w:pPr>
      <w:r>
        <w:rPr>
          <w:b/>
          <w:i w:val="0"/>
        </w:rPr>
        <w:t>Описание модели as-is в нотации IDEF0</w:t>
      </w:r>
    </w:p>
    <w:p>
      <w:pPr>
        <w:spacing w:after="120"/>
        <w:ind w:firstLine="426"/>
      </w:pPr>
      <w:r>
        <w:rPr>
          <w:b w:val="0"/>
          <w:i w:val="0"/>
        </w:rPr>
        <w:t>IDEF0 используется для представления процесса как системы преобразования входной информации в выходные сведения о готовности заказа. Для as-is фиксируются три уровня: контекстная диаграмма A-0, декомпозиция A0 и декомпозиция подпроцесса A4 «Фиксация результатов диагностики». Такой набор уровней отражает общую границу процесса, состав основных подпроцессов и проблемный участок, где возникает развилка по результатам диагностики [1; 2; 9].</w:t>
      </w:r>
    </w:p>
    <w:p>
      <w:pPr>
        <w:spacing w:after="120"/>
        <w:ind w:firstLine="426"/>
      </w:pPr>
      <w:r>
        <w:rPr>
          <w:b w:val="0"/>
          <w:i w:val="0"/>
        </w:rPr>
        <w:t>Контекстная диаграмма A-0 рассматривает процесс «Сопровождение заказов на поставку компьютерных систем» как преобразование данных заказа в сведения о готовности. Входами выступают карточка заказа, спецификация конфигурации, учетные данные склада и статус заказа. Управляющими воздействиями являются регламент обработки заказа, правила проверки состава, правила фиксации серийных номеров и правила смены статусов. Механизмы выполнения включают руководителя отдела производства, платформера, сборщика ПК, инженера тестирования компьютерной техники, упаковщика и внутреннюю CMS. Выходами являются обновленная карточка заказа, привязанные серийные номера, результаты диагностики и отметка о готовности.</w:t>
      </w:r>
    </w:p>
    <w:p>
      <w:pPr>
        <w:spacing w:after="120"/>
        <w:ind w:firstLine="0"/>
        <w:jc w:val="center"/>
      </w:pPr>
      <w:r>
        <w:rPr>
          <w:b w:val="0"/>
          <w:i/>
        </w:rPr>
        <w:t>Место для рисунка 2.3: Контекстная диаграмма IDEF0 as-is A-0. Диаграмма будет подготовлена вручную.</w:t>
      </w:r>
    </w:p>
    <w:p>
      <w:pPr>
        <w:spacing w:after="120"/>
        <w:ind w:firstLine="426"/>
      </w:pPr>
      <w:r>
        <w:rPr>
          <w:b w:val="0"/>
          <w:i w:val="0"/>
        </w:rPr>
        <w:t>Декомпозиция A0 раскрывает процесс через пять подпроцессов: A1 «Принятие и первичная проверка заказа», A2 «Подготовка информационного задания и данных о комплектующих», A3 «Информационное сопровождение сборочного этапа», A4 «Фиксация результатов диагностики», A5 «Финальный контроль и передача сведений о готовности». Между подпроцессами передаются не физические объекты, а информационные результаты: подтвержденные данные заказа, задание исполнителю, сведения о комплектующих и SN, статус передачи на диагностику, результат диагностики и итоговая отметка о готовности.</w:t>
      </w:r>
    </w:p>
    <w:p>
      <w:pPr>
        <w:spacing w:after="120"/>
        <w:ind w:firstLine="0"/>
        <w:jc w:val="center"/>
      </w:pPr>
      <w:r>
        <w:rPr>
          <w:b w:val="0"/>
          <w:i/>
        </w:rPr>
        <w:t>Место для рисунка 2.4: Декомпозиция IDEF0 as-is A0. Диаграмма будет подготовлена вручную.</w:t>
      </w:r>
    </w:p>
    <w:p>
      <w:pPr>
        <w:spacing w:after="120"/>
        <w:ind w:firstLine="426"/>
      </w:pPr>
      <w:r>
        <w:rPr>
          <w:b w:val="0"/>
          <w:i w:val="0"/>
        </w:rPr>
        <w:t>Третья диаграмма IDEF0 детализирует подпроцесс A4 «Фиксация результатов диагностики», так как именно на этом участке возникает ключевая развилка as-is. Подпроцесс A4 декомпозируется на A41 «Получение статуса о передаче на диагностику», A42 «Внесение результатов диагностических утилит», A43 «Фиксация замечаний или положительного результата», A44 «Возврат информации на уточнение при наличии замечаний», A45 «Передача положительного результата на финальный контроль».</w:t>
      </w:r>
    </w:p>
    <w:p>
      <w:pPr>
        <w:spacing w:after="120"/>
        <w:ind w:firstLine="426"/>
      </w:pPr>
      <w:r>
        <w:rPr>
          <w:b w:val="0"/>
          <w:i w:val="0"/>
        </w:rPr>
        <w:t>Если по результатам диагностики замечаний нет, положительный результат фиксируется в карточке заказа, после чего сведения передаются на финальный контроль. Если замечания есть, заказ не переходит к финальному контролю: информация возвращается на уточнение или устранение причины, а после корректировки результат диагностики должен быть зафиксирован повторно. В as-is эта логика зависит от ручного внесения данных и полноты контрольных отметок.</w:t>
      </w:r>
    </w:p>
    <w:p>
      <w:pPr>
        <w:spacing w:after="120"/>
        <w:ind w:firstLine="0"/>
        <w:jc w:val="center"/>
      </w:pPr>
      <w:r>
        <w:rPr>
          <w:b w:val="0"/>
          <w:i/>
        </w:rPr>
        <w:t>Место для рисунка 2.5: Декомпозиция подпроцесса A4 «Фиксация результатов диагностики» IDEF0 as-is. Диаграмма будет подготовлена вручную.</w:t>
      </w:r>
    </w:p>
    <w:p>
      <w:pPr>
        <w:spacing w:after="120"/>
        <w:ind w:firstLine="426"/>
      </w:pPr>
      <w:r>
        <w:rPr>
          <w:b/>
          <w:i w:val="0"/>
        </w:rPr>
        <w:t>Описание модели as-is в нотации BPMN 2.0</w:t>
      </w:r>
    </w:p>
    <w:p>
      <w:pPr>
        <w:spacing w:after="120"/>
        <w:ind w:firstLine="426"/>
      </w:pPr>
      <w:r>
        <w:rPr>
          <w:b w:val="0"/>
          <w:i w:val="0"/>
        </w:rPr>
        <w:t>BPMN-модель строится по дорожкам участников: руководитель отдела производства, платформер, сборщик ПК, инженер тестирования компьютерной техники и упаковщик. Стартовое событие - заказ на компьютерную систему поступил в обработку. Руководитель отдельно выполняет получение заказа, проверку цены, проверку состава, проверку статуса и принятие заказа в работу. После первичной проверки возникает развилка: данные корректны или требуется уточнение [1; 2].</w:t>
      </w:r>
    </w:p>
    <w:p>
      <w:pPr>
        <w:spacing w:after="120"/>
        <w:ind w:firstLine="426"/>
      </w:pPr>
      <w:r>
        <w:rPr>
          <w:b w:val="0"/>
          <w:i w:val="0"/>
        </w:rPr>
        <w:t>Платформер проверяет учетные данные комплектующих, привязывает комплектующие и серийные номера, затем фиксирует завершение своего этапа. Сборщик ПК фиксирует информационный результат сборочного этапа. Инженер тестирования вносит результаты диагностики, после чего возникает развилка: диагностика пройдена или есть замечания. При замечаниях информация возвращается на уточнение или устранение причины; при положительном результате процесс идет к финальному контролю. Упаковщик фиксирует комплектность, готовность и передачу сведений. Конечное событие - информация о готовности передана в следующий процесс.</w:t>
      </w:r>
    </w:p>
    <w:p>
      <w:pPr>
        <w:spacing w:after="120"/>
        <w:ind w:firstLine="0"/>
        <w:jc w:val="center"/>
      </w:pPr>
      <w:r>
        <w:rPr>
          <w:b w:val="0"/>
          <w:i/>
        </w:rPr>
        <w:t>Место для рисунка 2.6: Модель as-is в нотации BPMN 2.0. Диаграмма будет подготовлена вручную.</w:t>
      </w:r>
    </w:p>
    <w:p>
      <w:pPr>
        <w:spacing w:after="120"/>
        <w:ind w:firstLine="426"/>
      </w:pPr>
      <w:r>
        <w:rPr>
          <w:b/>
          <w:i w:val="0"/>
        </w:rPr>
        <w:t>Описание модели as-is в нотации EPC/eEPC</w:t>
      </w:r>
    </w:p>
    <w:p>
      <w:pPr>
        <w:spacing w:after="120"/>
        <w:ind w:firstLine="426"/>
      </w:pPr>
      <w:r>
        <w:rPr>
          <w:b w:val="0"/>
          <w:i w:val="0"/>
        </w:rPr>
        <w:t>EPC/eEPC-модель описывает процесс через чередование событий и функций. События формулируются как состояния процесса: «заказ получен», «цена проверена», «состав подтвержден», «статус заказа проверен», «SN привязаны», «результаты диагностики внесены», «замечания зафиксированы» или «положительный результат зафиксирован», «готовность зафиксирована». Функции соответствуют операциям PBS, а к каждой функции привязываются исполнители и информационные объекты [1; 2].</w:t>
      </w:r>
    </w:p>
    <w:p>
      <w:pPr>
        <w:spacing w:after="120"/>
        <w:ind w:firstLine="426"/>
      </w:pPr>
      <w:r>
        <w:rPr>
          <w:b w:val="0"/>
          <w:i w:val="0"/>
        </w:rPr>
        <w:t>На верхнем уровне EPC/eEPC отражает пять подпроцессов A1-A5, согласованных с IDEF0. Детализация строится по таблице событий и функций: после функции диагностики возможно событие «выявлены замечания», которое приводит к возврату информации на уточнение, либо событие «диагностика пройдена», после которого процесс переходит к финальному контролю и передаче сведений о готовности.</w:t>
      </w:r>
    </w:p>
    <w:p>
      <w:pPr>
        <w:spacing w:after="120"/>
        <w:ind w:firstLine="0"/>
        <w:jc w:val="center"/>
      </w:pPr>
      <w:r>
        <w:rPr>
          <w:b w:val="0"/>
          <w:i/>
        </w:rPr>
        <w:t>Место для рисунка 2.7: Модель as-is в нотации EPC/eEPC. Диаграмма будет подготовлена вручную.</w:t>
      </w:r>
    </w:p>
    <w:p>
      <w:pPr>
        <w:spacing w:after="120"/>
        <w:ind w:firstLine="426"/>
      </w:pPr>
      <w:r>
        <w:rPr>
          <w:b w:val="0"/>
          <w:i w:val="0"/>
        </w:rPr>
        <w:t>Таким образом, текстовое, табличное и будущее графическое описание моделей as-is опирается на единую структуру процесса, единый состав участников, согласованные входы, выходы, ресурсы и точки принятия решений.</w:t>
      </w:r>
    </w:p>
    <w:p>
      <w:pPr>
        <w:spacing w:after="120"/>
        <w:ind w:firstLine="0"/>
      </w:pPr>
      <w:r>
        <w:rPr>
          <w:b/>
          <w:i w:val="0"/>
        </w:rPr>
        <w:t>3 АНАЛИЗ БИЗНЕС-ПРОЦЕССА</w:t>
      </w:r>
    </w:p>
    <w:p>
      <w:pPr>
        <w:spacing w:after="120"/>
        <w:ind w:firstLine="0"/>
      </w:pPr>
      <w:r>
        <w:rPr>
          <w:b/>
          <w:i w:val="0"/>
        </w:rPr>
        <w:t>3.1 Анализ проблем бизнес-процесса</w:t>
      </w:r>
    </w:p>
    <w:p>
      <w:pPr>
        <w:spacing w:after="120"/>
        <w:ind w:firstLine="426"/>
      </w:pPr>
      <w:r>
        <w:rPr>
          <w:b w:val="0"/>
          <w:i w:val="0"/>
        </w:rPr>
        <w:t>В подразделе проводится логический и структурный анализ технологии сбора, обработки, хранения и передачи информации. Выявлены проблемы: ручная последовательная проверка цены, состава и статуса; риск ошибок при привязке SN; отсутствие автоматического контроля полноты карточки; задержки передачи статусов; зависимость качества от ручного внесения данных; слабая фиксация причин возврата на уточнение; разрозненность контрольных отметок.</w:t>
      </w:r>
    </w:p>
    <w:p>
      <w:pPr>
        <w:spacing w:after="120"/>
        <w:ind w:firstLine="426"/>
      </w:pPr>
      <w:r>
        <w:rPr>
          <w:b w:val="0"/>
          <w:i w:val="0"/>
        </w:rPr>
        <w:t>После внесения результатов диагностики возможны два сценария. Если замечаний нет, заказ переходит к финальному контролю и передаче сведений в следующий процесс. Если замечания есть, заказ не должен переходить дальше: информация возвращается на уточнение или устранение причины, после чего результат диагностики фиксируется повторно. В базовый расчет ФСА включается основной сценарий без замечаний.</w:t>
      </w:r>
    </w:p>
    <w:p>
      <w:pPr>
        <w:spacing w:after="120"/>
        <w:ind w:firstLine="426"/>
      </w:pPr>
      <w:r>
        <w:rPr>
          <w:b w:val="0"/>
          <w:i w:val="0"/>
        </w:rPr>
        <w:t>В таблице 3.1 приведены ключевые проблемы варианта as-is.</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tcPr>
          <w:p>
            <w:r>
              <w:rPr>
                <w:b/>
              </w:rPr>
              <w:t>Проблема</w:t>
            </w:r>
          </w:p>
        </w:tc>
        <w:tc>
          <w:tcPr>
            <w:tcW w:type="dxa" w:w="2880"/>
            <w:vAlign w:val="center"/>
          </w:tcPr>
          <w:p>
            <w:r>
              <w:rPr>
                <w:b/>
              </w:rPr>
              <w:t>Проявление в as-is</w:t>
            </w:r>
          </w:p>
        </w:tc>
        <w:tc>
          <w:tcPr>
            <w:tcW w:type="dxa" w:w="2880"/>
            <w:vAlign w:val="center"/>
          </w:tcPr>
          <w:p>
            <w:r>
              <w:rPr>
                <w:b/>
              </w:rPr>
              <w:t>Последствие</w:t>
            </w:r>
          </w:p>
        </w:tc>
      </w:tr>
      <w:tr>
        <w:tc>
          <w:tcPr>
            <w:tcW w:type="dxa" w:w="2880"/>
            <w:vAlign w:val="center"/>
          </w:tcPr>
          <w:p>
            <w:r>
              <w:t>Ручная проверка цены, состава и статуса</w:t>
            </w:r>
          </w:p>
        </w:tc>
        <w:tc>
          <w:tcPr>
            <w:tcW w:type="dxa" w:w="2880"/>
            <w:vAlign w:val="center"/>
          </w:tcPr>
          <w:p>
            <w:r>
              <w:t>Руководитель проверяет параметры последовательно</w:t>
            </w:r>
          </w:p>
        </w:tc>
        <w:tc>
          <w:tcPr>
            <w:tcW w:type="dxa" w:w="2880"/>
            <w:vAlign w:val="center"/>
          </w:tcPr>
          <w:p>
            <w:r>
              <w:t>Возникают задержки и зависимость от ручного контроля</w:t>
            </w:r>
          </w:p>
        </w:tc>
      </w:tr>
      <w:tr>
        <w:tc>
          <w:tcPr>
            <w:tcW w:type="dxa" w:w="2880"/>
            <w:vAlign w:val="center"/>
          </w:tcPr>
          <w:p>
            <w:r>
              <w:t>Риск ошибок при привязке SN</w:t>
            </w:r>
          </w:p>
        </w:tc>
        <w:tc>
          <w:tcPr>
            <w:tcW w:type="dxa" w:w="2880"/>
            <w:vAlign w:val="center"/>
          </w:tcPr>
          <w:p>
            <w:r>
              <w:t>Серийные номера фиксируются вручную</w:t>
            </w:r>
          </w:p>
        </w:tc>
        <w:tc>
          <w:tcPr>
            <w:tcW w:type="dxa" w:w="2880"/>
            <w:vAlign w:val="center"/>
          </w:tcPr>
          <w:p>
            <w:r>
              <w:t>Снижается прослеживаемость комплектующих</w:t>
            </w:r>
          </w:p>
        </w:tc>
      </w:tr>
      <w:tr>
        <w:tc>
          <w:tcPr>
            <w:tcW w:type="dxa" w:w="2880"/>
            <w:vAlign w:val="center"/>
          </w:tcPr>
          <w:p>
            <w:r>
              <w:t>Нет автоматического контроля полноты карточки</w:t>
            </w:r>
          </w:p>
        </w:tc>
        <w:tc>
          <w:tcPr>
            <w:tcW w:type="dxa" w:w="2880"/>
            <w:vAlign w:val="center"/>
          </w:tcPr>
          <w:p>
            <w:r>
              <w:t>Неполные данные могут перейти дальше</w:t>
            </w:r>
          </w:p>
        </w:tc>
        <w:tc>
          <w:tcPr>
            <w:tcW w:type="dxa" w:w="2880"/>
            <w:vAlign w:val="center"/>
          </w:tcPr>
          <w:p>
            <w:r>
              <w:t>Повышается риск возврата на уточнение</w:t>
            </w:r>
          </w:p>
        </w:tc>
      </w:tr>
      <w:tr>
        <w:tc>
          <w:tcPr>
            <w:tcW w:type="dxa" w:w="2880"/>
            <w:vAlign w:val="center"/>
          </w:tcPr>
          <w:p>
            <w:r>
              <w:t>Слабая фиксация причин замечаний</w:t>
            </w:r>
          </w:p>
        </w:tc>
        <w:tc>
          <w:tcPr>
            <w:tcW w:type="dxa" w:w="2880"/>
            <w:vAlign w:val="center"/>
          </w:tcPr>
          <w:p>
            <w:r>
              <w:t>Причины возврата не стандартизированы</w:t>
            </w:r>
          </w:p>
        </w:tc>
        <w:tc>
          <w:tcPr>
            <w:tcW w:type="dxa" w:w="2880"/>
            <w:vAlign w:val="center"/>
          </w:tcPr>
          <w:p>
            <w:r>
              <w:t>Труднее анализировать повторяющиеся ошибки</w:t>
            </w:r>
          </w:p>
        </w:tc>
      </w:tr>
      <w:tr>
        <w:tc>
          <w:tcPr>
            <w:tcW w:type="dxa" w:w="2880"/>
            <w:vAlign w:val="center"/>
          </w:tcPr>
          <w:p>
            <w:r>
              <w:t>Задержки статусов</w:t>
            </w:r>
          </w:p>
        </w:tc>
        <w:tc>
          <w:tcPr>
            <w:tcW w:type="dxa" w:w="2880"/>
            <w:vAlign w:val="center"/>
          </w:tcPr>
          <w:p>
            <w:r>
              <w:t>Статусы зависят от ручной фиксации</w:t>
            </w:r>
          </w:p>
        </w:tc>
        <w:tc>
          <w:tcPr>
            <w:tcW w:type="dxa" w:w="2880"/>
            <w:vAlign w:val="center"/>
          </w:tcPr>
          <w:p>
            <w:r>
              <w:t>Снижается прозрачность процесса</w:t>
            </w:r>
          </w:p>
        </w:tc>
      </w:tr>
    </w:tbl>
    <w:p>
      <w:pPr>
        <w:spacing w:after="120"/>
        <w:ind w:firstLine="0"/>
      </w:pPr>
      <w:r>
        <w:rPr>
          <w:b/>
          <w:i w:val="0"/>
        </w:rPr>
        <w:t>3.2 Оценка стоимости выполнения бизнес-процесса</w:t>
      </w:r>
    </w:p>
    <w:p>
      <w:pPr>
        <w:spacing w:after="120"/>
        <w:ind w:firstLine="426"/>
      </w:pPr>
      <w:r>
        <w:rPr>
          <w:b w:val="0"/>
          <w:i w:val="0"/>
        </w:rPr>
        <w:t>Функционально-стоимостный анализ выполнен для одного типового заказа в базовом сценарии без замечаний. В расчет включены только информационные операции. Физическая сборка, физическое тестирование, физическая упаковка и доставка не включаются в трудоемкость анализируемого процесса. Ставки исполнителей, стоимость использования основных средств и стоимость использования CMS приняты по расчетам, выполненным в практической работе 9 [9].</w:t>
      </w:r>
    </w:p>
    <w:p>
      <w:pPr>
        <w:spacing w:after="120"/>
        <w:ind w:firstLine="426"/>
      </w:pPr>
      <w:r>
        <w:rPr>
          <w:b w:val="0"/>
          <w:i w:val="0"/>
        </w:rPr>
        <w:t>В таблице 3.2 приведен расчет стоимости оплаты труда по операциям as-is.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tcPr>
          <w:p>
            <w:r>
              <w:rPr>
                <w:b/>
              </w:rPr>
              <w:t>Операция</w:t>
            </w:r>
          </w:p>
        </w:tc>
        <w:tc>
          <w:tcPr>
            <w:tcW w:type="dxa" w:w="1728"/>
            <w:vAlign w:val="center"/>
          </w:tcPr>
          <w:p>
            <w:r>
              <w:rPr>
                <w:b/>
              </w:rPr>
              <w:t>Исполнитель</w:t>
            </w:r>
          </w:p>
        </w:tc>
        <w:tc>
          <w:tcPr>
            <w:tcW w:type="dxa" w:w="1728"/>
            <w:vAlign w:val="center"/>
          </w:tcPr>
          <w:p>
            <w:r>
              <w:rPr>
                <w:b/>
              </w:rPr>
              <w:t>Время, час</w:t>
            </w:r>
          </w:p>
        </w:tc>
        <w:tc>
          <w:tcPr>
            <w:tcW w:type="dxa" w:w="1728"/>
            <w:vAlign w:val="center"/>
          </w:tcPr>
          <w:p>
            <w:r>
              <w:rPr>
                <w:b/>
              </w:rPr>
              <w:t>Ставка, руб./час</w:t>
            </w:r>
          </w:p>
        </w:tc>
        <w:tc>
          <w:tcPr>
            <w:tcW w:type="dxa" w:w="1728"/>
            <w:vAlign w:val="center"/>
          </w:tcPr>
          <w:p>
            <w:r>
              <w:rPr>
                <w:b/>
              </w:rPr>
              <w:t>Стоимость, руб.</w:t>
            </w:r>
          </w:p>
        </w:tc>
      </w:tr>
      <w:tr>
        <w:tc>
          <w:tcPr>
            <w:tcW w:type="dxa" w:w="1728"/>
            <w:vAlign w:val="center"/>
          </w:tcPr>
          <w:p>
            <w:r>
              <w:t>Получить заказ в CMS</w:t>
            </w:r>
          </w:p>
        </w:tc>
        <w:tc>
          <w:tcPr>
            <w:tcW w:type="dxa" w:w="1728"/>
            <w:vAlign w:val="center"/>
          </w:tcPr>
          <w:p>
            <w:r>
              <w:t>Руководитель отдела производства</w:t>
            </w:r>
          </w:p>
        </w:tc>
        <w:tc>
          <w:tcPr>
            <w:tcW w:type="dxa" w:w="1728"/>
            <w:vAlign w:val="center"/>
          </w:tcPr>
          <w:p>
            <w:r>
              <w:t>0,03</w:t>
            </w:r>
          </w:p>
        </w:tc>
        <w:tc>
          <w:tcPr>
            <w:tcW w:type="dxa" w:w="1728"/>
            <w:vAlign w:val="center"/>
          </w:tcPr>
          <w:p>
            <w:r>
              <w:t>1 071,43</w:t>
            </w:r>
          </w:p>
        </w:tc>
        <w:tc>
          <w:tcPr>
            <w:tcW w:type="dxa" w:w="1728"/>
            <w:vAlign w:val="center"/>
          </w:tcPr>
          <w:p>
            <w:r>
              <w:t>32,14</w:t>
            </w:r>
          </w:p>
        </w:tc>
      </w:tr>
      <w:tr>
        <w:tc>
          <w:tcPr>
            <w:tcW w:type="dxa" w:w="1728"/>
            <w:vAlign w:val="center"/>
          </w:tcPr>
          <w:p>
            <w:r>
              <w:t>Проверить цену</w:t>
            </w:r>
          </w:p>
        </w:tc>
        <w:tc>
          <w:tcPr>
            <w:tcW w:type="dxa" w:w="1728"/>
            <w:vAlign w:val="center"/>
          </w:tcPr>
          <w:p>
            <w:r>
              <w:t>Руководитель отдела производства</w:t>
            </w:r>
          </w:p>
        </w:tc>
        <w:tc>
          <w:tcPr>
            <w:tcW w:type="dxa" w:w="1728"/>
            <w:vAlign w:val="center"/>
          </w:tcPr>
          <w:p>
            <w:r>
              <w:t>0,03</w:t>
            </w:r>
          </w:p>
        </w:tc>
        <w:tc>
          <w:tcPr>
            <w:tcW w:type="dxa" w:w="1728"/>
            <w:vAlign w:val="center"/>
          </w:tcPr>
          <w:p>
            <w:r>
              <w:t>1 071,43</w:t>
            </w:r>
          </w:p>
        </w:tc>
        <w:tc>
          <w:tcPr>
            <w:tcW w:type="dxa" w:w="1728"/>
            <w:vAlign w:val="center"/>
          </w:tcPr>
          <w:p>
            <w:r>
              <w:t>32,14</w:t>
            </w:r>
          </w:p>
        </w:tc>
      </w:tr>
      <w:tr>
        <w:tc>
          <w:tcPr>
            <w:tcW w:type="dxa" w:w="1728"/>
            <w:vAlign w:val="center"/>
          </w:tcPr>
          <w:p>
            <w:r>
              <w:t>Проверить состав конфигурации</w:t>
            </w:r>
          </w:p>
        </w:tc>
        <w:tc>
          <w:tcPr>
            <w:tcW w:type="dxa" w:w="1728"/>
            <w:vAlign w:val="center"/>
          </w:tcPr>
          <w:p>
            <w:r>
              <w:t>Руководитель отдела производства</w:t>
            </w:r>
          </w:p>
        </w:tc>
        <w:tc>
          <w:tcPr>
            <w:tcW w:type="dxa" w:w="1728"/>
            <w:vAlign w:val="center"/>
          </w:tcPr>
          <w:p>
            <w:r>
              <w:t>0,05</w:t>
            </w:r>
          </w:p>
        </w:tc>
        <w:tc>
          <w:tcPr>
            <w:tcW w:type="dxa" w:w="1728"/>
            <w:vAlign w:val="center"/>
          </w:tcPr>
          <w:p>
            <w:r>
              <w:t>1 071,43</w:t>
            </w:r>
          </w:p>
        </w:tc>
        <w:tc>
          <w:tcPr>
            <w:tcW w:type="dxa" w:w="1728"/>
            <w:vAlign w:val="center"/>
          </w:tcPr>
          <w:p>
            <w:r>
              <w:t>53,57</w:t>
            </w:r>
          </w:p>
        </w:tc>
      </w:tr>
      <w:tr>
        <w:tc>
          <w:tcPr>
            <w:tcW w:type="dxa" w:w="1728"/>
            <w:vAlign w:val="center"/>
          </w:tcPr>
          <w:p>
            <w:r>
              <w:t>Проверить статус заказа</w:t>
            </w:r>
          </w:p>
        </w:tc>
        <w:tc>
          <w:tcPr>
            <w:tcW w:type="dxa" w:w="1728"/>
            <w:vAlign w:val="center"/>
          </w:tcPr>
          <w:p>
            <w:r>
              <w:t>Руководитель отдела производства</w:t>
            </w:r>
          </w:p>
        </w:tc>
        <w:tc>
          <w:tcPr>
            <w:tcW w:type="dxa" w:w="1728"/>
            <w:vAlign w:val="center"/>
          </w:tcPr>
          <w:p>
            <w:r>
              <w:t>0,02</w:t>
            </w:r>
          </w:p>
        </w:tc>
        <w:tc>
          <w:tcPr>
            <w:tcW w:type="dxa" w:w="1728"/>
            <w:vAlign w:val="center"/>
          </w:tcPr>
          <w:p>
            <w:r>
              <w:t>1 071,43</w:t>
            </w:r>
          </w:p>
        </w:tc>
        <w:tc>
          <w:tcPr>
            <w:tcW w:type="dxa" w:w="1728"/>
            <w:vAlign w:val="center"/>
          </w:tcPr>
          <w:p>
            <w:r>
              <w:t>21,43</w:t>
            </w:r>
          </w:p>
        </w:tc>
      </w:tr>
      <w:tr>
        <w:tc>
          <w:tcPr>
            <w:tcW w:type="dxa" w:w="1728"/>
            <w:vAlign w:val="center"/>
          </w:tcPr>
          <w:p>
            <w:r>
              <w:t>Принять заказ в работу</w:t>
            </w:r>
          </w:p>
        </w:tc>
        <w:tc>
          <w:tcPr>
            <w:tcW w:type="dxa" w:w="1728"/>
            <w:vAlign w:val="center"/>
          </w:tcPr>
          <w:p>
            <w:r>
              <w:t>Руководитель отдела производства</w:t>
            </w:r>
          </w:p>
        </w:tc>
        <w:tc>
          <w:tcPr>
            <w:tcW w:type="dxa" w:w="1728"/>
            <w:vAlign w:val="center"/>
          </w:tcPr>
          <w:p>
            <w:r>
              <w:t>0,02</w:t>
            </w:r>
          </w:p>
        </w:tc>
        <w:tc>
          <w:tcPr>
            <w:tcW w:type="dxa" w:w="1728"/>
            <w:vAlign w:val="center"/>
          </w:tcPr>
          <w:p>
            <w:r>
              <w:t>1 071,43</w:t>
            </w:r>
          </w:p>
        </w:tc>
        <w:tc>
          <w:tcPr>
            <w:tcW w:type="dxa" w:w="1728"/>
            <w:vAlign w:val="center"/>
          </w:tcPr>
          <w:p>
            <w:r>
              <w:t>21,43</w:t>
            </w:r>
          </w:p>
        </w:tc>
      </w:tr>
      <w:tr>
        <w:tc>
          <w:tcPr>
            <w:tcW w:type="dxa" w:w="1728"/>
            <w:vAlign w:val="center"/>
          </w:tcPr>
          <w:p>
            <w:r>
              <w:t>Проверить учетные данные комплектующих</w:t>
            </w:r>
          </w:p>
        </w:tc>
        <w:tc>
          <w:tcPr>
            <w:tcW w:type="dxa" w:w="1728"/>
            <w:vAlign w:val="center"/>
          </w:tcPr>
          <w:p>
            <w:r>
              <w:t>Платформер</w:t>
            </w:r>
          </w:p>
        </w:tc>
        <w:tc>
          <w:tcPr>
            <w:tcW w:type="dxa" w:w="1728"/>
            <w:vAlign w:val="center"/>
          </w:tcPr>
          <w:p>
            <w:r>
              <w:t>0,08</w:t>
            </w:r>
          </w:p>
        </w:tc>
        <w:tc>
          <w:tcPr>
            <w:tcW w:type="dxa" w:w="1728"/>
            <w:vAlign w:val="center"/>
          </w:tcPr>
          <w:p>
            <w:r>
              <w:t>654,76</w:t>
            </w:r>
          </w:p>
        </w:tc>
        <w:tc>
          <w:tcPr>
            <w:tcW w:type="dxa" w:w="1728"/>
            <w:vAlign w:val="center"/>
          </w:tcPr>
          <w:p>
            <w:r>
              <w:t>52,38</w:t>
            </w:r>
          </w:p>
        </w:tc>
      </w:tr>
      <w:tr>
        <w:tc>
          <w:tcPr>
            <w:tcW w:type="dxa" w:w="1728"/>
            <w:vAlign w:val="center"/>
          </w:tcPr>
          <w:p>
            <w:r>
              <w:t>Привязать комплектующие и SN</w:t>
            </w:r>
          </w:p>
        </w:tc>
        <w:tc>
          <w:tcPr>
            <w:tcW w:type="dxa" w:w="1728"/>
            <w:vAlign w:val="center"/>
          </w:tcPr>
          <w:p>
            <w:r>
              <w:t>Платформер</w:t>
            </w:r>
          </w:p>
        </w:tc>
        <w:tc>
          <w:tcPr>
            <w:tcW w:type="dxa" w:w="1728"/>
            <w:vAlign w:val="center"/>
          </w:tcPr>
          <w:p>
            <w:r>
              <w:t>0,12</w:t>
            </w:r>
          </w:p>
        </w:tc>
        <w:tc>
          <w:tcPr>
            <w:tcW w:type="dxa" w:w="1728"/>
            <w:vAlign w:val="center"/>
          </w:tcPr>
          <w:p>
            <w:r>
              <w:t>654,76</w:t>
            </w:r>
          </w:p>
        </w:tc>
        <w:tc>
          <w:tcPr>
            <w:tcW w:type="dxa" w:w="1728"/>
            <w:vAlign w:val="center"/>
          </w:tcPr>
          <w:p>
            <w:r>
              <w:t>78,57</w:t>
            </w:r>
          </w:p>
        </w:tc>
      </w:tr>
      <w:tr>
        <w:tc>
          <w:tcPr>
            <w:tcW w:type="dxa" w:w="1728"/>
            <w:vAlign w:val="center"/>
          </w:tcPr>
          <w:p>
            <w:r>
              <w:t>Сформировать задание исполнителю</w:t>
            </w:r>
          </w:p>
        </w:tc>
        <w:tc>
          <w:tcPr>
            <w:tcW w:type="dxa" w:w="1728"/>
            <w:vAlign w:val="center"/>
          </w:tcPr>
          <w:p>
            <w:r>
              <w:t>Руководитель отдела производства</w:t>
            </w:r>
          </w:p>
        </w:tc>
        <w:tc>
          <w:tcPr>
            <w:tcW w:type="dxa" w:w="1728"/>
            <w:vAlign w:val="center"/>
          </w:tcPr>
          <w:p>
            <w:r>
              <w:t>0,03</w:t>
            </w:r>
          </w:p>
        </w:tc>
        <w:tc>
          <w:tcPr>
            <w:tcW w:type="dxa" w:w="1728"/>
            <w:vAlign w:val="center"/>
          </w:tcPr>
          <w:p>
            <w:r>
              <w:t>1 071,43</w:t>
            </w:r>
          </w:p>
        </w:tc>
        <w:tc>
          <w:tcPr>
            <w:tcW w:type="dxa" w:w="1728"/>
            <w:vAlign w:val="center"/>
          </w:tcPr>
          <w:p>
            <w:r>
              <w:t>32,14</w:t>
            </w:r>
          </w:p>
        </w:tc>
      </w:tr>
      <w:tr>
        <w:tc>
          <w:tcPr>
            <w:tcW w:type="dxa" w:w="1728"/>
            <w:vAlign w:val="center"/>
          </w:tcPr>
          <w:p>
            <w:r>
              <w:t>Зафиксировать завершение этапа платформера</w:t>
            </w:r>
          </w:p>
        </w:tc>
        <w:tc>
          <w:tcPr>
            <w:tcW w:type="dxa" w:w="1728"/>
            <w:vAlign w:val="center"/>
          </w:tcPr>
          <w:p>
            <w:r>
              <w:t>Платформер</w:t>
            </w:r>
          </w:p>
        </w:tc>
        <w:tc>
          <w:tcPr>
            <w:tcW w:type="dxa" w:w="1728"/>
            <w:vAlign w:val="center"/>
          </w:tcPr>
          <w:p>
            <w:r>
              <w:t>0,03</w:t>
            </w:r>
          </w:p>
        </w:tc>
        <w:tc>
          <w:tcPr>
            <w:tcW w:type="dxa" w:w="1728"/>
            <w:vAlign w:val="center"/>
          </w:tcPr>
          <w:p>
            <w:r>
              <w:t>654,76</w:t>
            </w:r>
          </w:p>
        </w:tc>
        <w:tc>
          <w:tcPr>
            <w:tcW w:type="dxa" w:w="1728"/>
            <w:vAlign w:val="center"/>
          </w:tcPr>
          <w:p>
            <w:r>
              <w:t>19,64</w:t>
            </w:r>
          </w:p>
        </w:tc>
      </w:tr>
      <w:tr>
        <w:tc>
          <w:tcPr>
            <w:tcW w:type="dxa" w:w="1728"/>
            <w:vAlign w:val="center"/>
          </w:tcPr>
          <w:p>
            <w:r>
              <w:t>Зафиксировать завершение этапа сборщика ПК</w:t>
            </w:r>
          </w:p>
        </w:tc>
        <w:tc>
          <w:tcPr>
            <w:tcW w:type="dxa" w:w="1728"/>
            <w:vAlign w:val="center"/>
          </w:tcPr>
          <w:p>
            <w:r>
              <w:t>Сборщик ПК</w:t>
            </w:r>
          </w:p>
        </w:tc>
        <w:tc>
          <w:tcPr>
            <w:tcW w:type="dxa" w:w="1728"/>
            <w:vAlign w:val="center"/>
          </w:tcPr>
          <w:p>
            <w:r>
              <w:t>0,03</w:t>
            </w:r>
          </w:p>
        </w:tc>
        <w:tc>
          <w:tcPr>
            <w:tcW w:type="dxa" w:w="1728"/>
            <w:vAlign w:val="center"/>
          </w:tcPr>
          <w:p>
            <w:r>
              <w:t>595,24</w:t>
            </w:r>
          </w:p>
        </w:tc>
        <w:tc>
          <w:tcPr>
            <w:tcW w:type="dxa" w:w="1728"/>
            <w:vAlign w:val="center"/>
          </w:tcPr>
          <w:p>
            <w:r>
              <w:t>17,86</w:t>
            </w:r>
          </w:p>
        </w:tc>
      </w:tr>
      <w:tr>
        <w:tc>
          <w:tcPr>
            <w:tcW w:type="dxa" w:w="1728"/>
            <w:vAlign w:val="center"/>
          </w:tcPr>
          <w:p>
            <w:r>
              <w:t>Передать статус на диагностику</w:t>
            </w:r>
          </w:p>
        </w:tc>
        <w:tc>
          <w:tcPr>
            <w:tcW w:type="dxa" w:w="1728"/>
            <w:vAlign w:val="center"/>
          </w:tcPr>
          <w:p>
            <w:r>
              <w:t>Сборщик ПК</w:t>
            </w:r>
          </w:p>
        </w:tc>
        <w:tc>
          <w:tcPr>
            <w:tcW w:type="dxa" w:w="1728"/>
            <w:vAlign w:val="center"/>
          </w:tcPr>
          <w:p>
            <w:r>
              <w:t>0,02</w:t>
            </w:r>
          </w:p>
        </w:tc>
        <w:tc>
          <w:tcPr>
            <w:tcW w:type="dxa" w:w="1728"/>
            <w:vAlign w:val="center"/>
          </w:tcPr>
          <w:p>
            <w:r>
              <w:t>595,24</w:t>
            </w:r>
          </w:p>
        </w:tc>
        <w:tc>
          <w:tcPr>
            <w:tcW w:type="dxa" w:w="1728"/>
            <w:vAlign w:val="center"/>
          </w:tcPr>
          <w:p>
            <w:r>
              <w:t>11,90</w:t>
            </w:r>
          </w:p>
        </w:tc>
      </w:tr>
      <w:tr>
        <w:tc>
          <w:tcPr>
            <w:tcW w:type="dxa" w:w="1728"/>
            <w:vAlign w:val="center"/>
          </w:tcPr>
          <w:p>
            <w:r>
              <w:t>Внести результаты диагностики</w:t>
            </w:r>
          </w:p>
        </w:tc>
        <w:tc>
          <w:tcPr>
            <w:tcW w:type="dxa" w:w="1728"/>
            <w:vAlign w:val="center"/>
          </w:tcPr>
          <w:p>
            <w:r>
              <w:t>Инженер тестирования компьютерной техники</w:t>
            </w:r>
          </w:p>
        </w:tc>
        <w:tc>
          <w:tcPr>
            <w:tcW w:type="dxa" w:w="1728"/>
            <w:vAlign w:val="center"/>
          </w:tcPr>
          <w:p>
            <w:r>
              <w:t>0,08</w:t>
            </w:r>
          </w:p>
        </w:tc>
        <w:tc>
          <w:tcPr>
            <w:tcW w:type="dxa" w:w="1728"/>
            <w:vAlign w:val="center"/>
          </w:tcPr>
          <w:p>
            <w:r>
              <w:t>833,33</w:t>
            </w:r>
          </w:p>
        </w:tc>
        <w:tc>
          <w:tcPr>
            <w:tcW w:type="dxa" w:w="1728"/>
            <w:vAlign w:val="center"/>
          </w:tcPr>
          <w:p>
            <w:r>
              <w:t>66,67</w:t>
            </w:r>
          </w:p>
        </w:tc>
      </w:tr>
      <w:tr>
        <w:tc>
          <w:tcPr>
            <w:tcW w:type="dxa" w:w="1728"/>
            <w:vAlign w:val="center"/>
          </w:tcPr>
          <w:p>
            <w:r>
              <w:t>Зафиксировать замечания или положительный результат</w:t>
            </w:r>
          </w:p>
        </w:tc>
        <w:tc>
          <w:tcPr>
            <w:tcW w:type="dxa" w:w="1728"/>
            <w:vAlign w:val="center"/>
          </w:tcPr>
          <w:p>
            <w:r>
              <w:t>Инженер тестирования компьютерной техники</w:t>
            </w:r>
          </w:p>
        </w:tc>
        <w:tc>
          <w:tcPr>
            <w:tcW w:type="dxa" w:w="1728"/>
            <w:vAlign w:val="center"/>
          </w:tcPr>
          <w:p>
            <w:r>
              <w:t>0,03</w:t>
            </w:r>
          </w:p>
        </w:tc>
        <w:tc>
          <w:tcPr>
            <w:tcW w:type="dxa" w:w="1728"/>
            <w:vAlign w:val="center"/>
          </w:tcPr>
          <w:p>
            <w:r>
              <w:t>833,33</w:t>
            </w:r>
          </w:p>
        </w:tc>
        <w:tc>
          <w:tcPr>
            <w:tcW w:type="dxa" w:w="1728"/>
            <w:vAlign w:val="center"/>
          </w:tcPr>
          <w:p>
            <w:r>
              <w:t>25,00</w:t>
            </w:r>
          </w:p>
        </w:tc>
      </w:tr>
      <w:tr>
        <w:tc>
          <w:tcPr>
            <w:tcW w:type="dxa" w:w="1728"/>
            <w:vAlign w:val="center"/>
          </w:tcPr>
          <w:p>
            <w:r>
              <w:t>Проверить полноту карточки заказа</w:t>
            </w:r>
          </w:p>
        </w:tc>
        <w:tc>
          <w:tcPr>
            <w:tcW w:type="dxa" w:w="1728"/>
            <w:vAlign w:val="center"/>
          </w:tcPr>
          <w:p>
            <w:r>
              <w:t>Руководитель отдела производства</w:t>
            </w:r>
          </w:p>
        </w:tc>
        <w:tc>
          <w:tcPr>
            <w:tcW w:type="dxa" w:w="1728"/>
            <w:vAlign w:val="center"/>
          </w:tcPr>
          <w:p>
            <w:r>
              <w:t>0,05</w:t>
            </w:r>
          </w:p>
        </w:tc>
        <w:tc>
          <w:tcPr>
            <w:tcW w:type="dxa" w:w="1728"/>
            <w:vAlign w:val="center"/>
          </w:tcPr>
          <w:p>
            <w:r>
              <w:t>1 071,43</w:t>
            </w:r>
          </w:p>
        </w:tc>
        <w:tc>
          <w:tcPr>
            <w:tcW w:type="dxa" w:w="1728"/>
            <w:vAlign w:val="center"/>
          </w:tcPr>
          <w:p>
            <w:r>
              <w:t>53,57</w:t>
            </w:r>
          </w:p>
        </w:tc>
      </w:tr>
      <w:tr>
        <w:tc>
          <w:tcPr>
            <w:tcW w:type="dxa" w:w="1728"/>
            <w:vAlign w:val="center"/>
          </w:tcPr>
          <w:p>
            <w:r>
              <w:t>Зафиксировать сведения о видеофиксации, комплектности и готовности</w:t>
            </w:r>
          </w:p>
        </w:tc>
        <w:tc>
          <w:tcPr>
            <w:tcW w:type="dxa" w:w="1728"/>
            <w:vAlign w:val="center"/>
          </w:tcPr>
          <w:p>
            <w:r>
              <w:t>Упаковщик</w:t>
            </w:r>
          </w:p>
        </w:tc>
        <w:tc>
          <w:tcPr>
            <w:tcW w:type="dxa" w:w="1728"/>
            <w:vAlign w:val="center"/>
          </w:tcPr>
          <w:p>
            <w:r>
              <w:t>0,04</w:t>
            </w:r>
          </w:p>
        </w:tc>
        <w:tc>
          <w:tcPr>
            <w:tcW w:type="dxa" w:w="1728"/>
            <w:vAlign w:val="center"/>
          </w:tcPr>
          <w:p>
            <w:r>
              <w:t>488,10</w:t>
            </w:r>
          </w:p>
        </w:tc>
        <w:tc>
          <w:tcPr>
            <w:tcW w:type="dxa" w:w="1728"/>
            <w:vAlign w:val="center"/>
          </w:tcPr>
          <w:p>
            <w:r>
              <w:t>19,52</w:t>
            </w:r>
          </w:p>
        </w:tc>
      </w:tr>
      <w:tr>
        <w:tc>
          <w:tcPr>
            <w:tcW w:type="dxa" w:w="1728"/>
            <w:vAlign w:val="center"/>
          </w:tcPr>
          <w:p>
            <w:r>
              <w:t>Передать сведения в следующий процесс</w:t>
            </w:r>
          </w:p>
        </w:tc>
        <w:tc>
          <w:tcPr>
            <w:tcW w:type="dxa" w:w="1728"/>
            <w:vAlign w:val="center"/>
          </w:tcPr>
          <w:p>
            <w:r>
              <w:t>Упаковщик</w:t>
            </w:r>
          </w:p>
        </w:tc>
        <w:tc>
          <w:tcPr>
            <w:tcW w:type="dxa" w:w="1728"/>
            <w:vAlign w:val="center"/>
          </w:tcPr>
          <w:p>
            <w:r>
              <w:t>0,02</w:t>
            </w:r>
          </w:p>
        </w:tc>
        <w:tc>
          <w:tcPr>
            <w:tcW w:type="dxa" w:w="1728"/>
            <w:vAlign w:val="center"/>
          </w:tcPr>
          <w:p>
            <w:r>
              <w:t>488,10</w:t>
            </w:r>
          </w:p>
        </w:tc>
        <w:tc>
          <w:tcPr>
            <w:tcW w:type="dxa" w:w="1728"/>
            <w:vAlign w:val="center"/>
          </w:tcPr>
          <w:p>
            <w:r>
              <w:t>9,76</w:t>
            </w:r>
          </w:p>
        </w:tc>
      </w:tr>
      <w:tr>
        <w:tc>
          <w:tcPr>
            <w:tcW w:type="dxa" w:w="1728"/>
            <w:vAlign w:val="center"/>
          </w:tcPr>
          <w:p>
            <w:r>
              <w:t>Итого</w:t>
            </w:r>
          </w:p>
        </w:tc>
        <w:tc>
          <w:tcPr>
            <w:tcW w:type="dxa" w:w="1728"/>
            <w:vAlign w:val="center"/>
          </w:tcPr>
          <w:p>
            <w:r/>
          </w:p>
        </w:tc>
        <w:tc>
          <w:tcPr>
            <w:tcW w:type="dxa" w:w="1728"/>
            <w:vAlign w:val="center"/>
          </w:tcPr>
          <w:p>
            <w:r>
              <w:t>0,68</w:t>
            </w:r>
          </w:p>
        </w:tc>
        <w:tc>
          <w:tcPr>
            <w:tcW w:type="dxa" w:w="1728"/>
            <w:vAlign w:val="center"/>
          </w:tcPr>
          <w:p>
            <w:r/>
          </w:p>
        </w:tc>
        <w:tc>
          <w:tcPr>
            <w:tcW w:type="dxa" w:w="1728"/>
            <w:vAlign w:val="center"/>
          </w:tcPr>
          <w:p>
            <w:r>
              <w:t>547,74</w:t>
            </w:r>
          </w:p>
        </w:tc>
      </w:tr>
    </w:tbl>
    <w:p>
      <w:pPr>
        <w:spacing w:after="120"/>
        <w:ind w:firstLine="426"/>
      </w:pPr>
      <w:r>
        <w:rPr>
          <w:b w:val="0"/>
          <w:i w:val="0"/>
        </w:rPr>
        <w:t>Страховые взносы рассчитаны по ставке 30,6 % и составляют 167,61 руб.</w:t>
      </w:r>
    </w:p>
    <w:p>
      <w:pPr>
        <w:spacing w:after="120"/>
        <w:ind w:firstLine="426"/>
      </w:pPr>
      <w:r>
        <w:rPr>
          <w:b w:val="0"/>
          <w:i w:val="0"/>
        </w:rPr>
        <w:t>В таблице 3.3 приведен расчет стоимости использования основных средств.</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tcPr>
          <w:p>
            <w:r>
              <w:rPr>
                <w:b/>
              </w:rPr>
              <w:t>Операция</w:t>
            </w:r>
          </w:p>
        </w:tc>
        <w:tc>
          <w:tcPr>
            <w:tcW w:type="dxa" w:w="1728"/>
            <w:vAlign w:val="center"/>
          </w:tcPr>
          <w:p>
            <w:r>
              <w:rPr>
                <w:b/>
              </w:rPr>
              <w:t>Основное средство</w:t>
            </w:r>
          </w:p>
        </w:tc>
        <w:tc>
          <w:tcPr>
            <w:tcW w:type="dxa" w:w="1728"/>
            <w:vAlign w:val="center"/>
          </w:tcPr>
          <w:p>
            <w:r>
              <w:rPr>
                <w:b/>
              </w:rPr>
              <w:t>Время, час</w:t>
            </w:r>
          </w:p>
        </w:tc>
        <w:tc>
          <w:tcPr>
            <w:tcW w:type="dxa" w:w="1728"/>
            <w:vAlign w:val="center"/>
          </w:tcPr>
          <w:p>
            <w:r>
              <w:rPr>
                <w:b/>
              </w:rPr>
              <w:t>Часовая стоимость, руб./час</w:t>
            </w:r>
          </w:p>
        </w:tc>
        <w:tc>
          <w:tcPr>
            <w:tcW w:type="dxa" w:w="1728"/>
            <w:vAlign w:val="center"/>
          </w:tcPr>
          <w:p>
            <w:r>
              <w:rPr>
                <w:b/>
              </w:rPr>
              <w:t>Стоимость, руб.</w:t>
            </w:r>
          </w:p>
        </w:tc>
      </w:tr>
      <w:tr>
        <w:tc>
          <w:tcPr>
            <w:tcW w:type="dxa" w:w="1728"/>
            <w:vAlign w:val="center"/>
          </w:tcPr>
          <w:p>
            <w:r>
              <w:t>Получить заказ в CMS</w:t>
            </w:r>
          </w:p>
        </w:tc>
        <w:tc>
          <w:tcPr>
            <w:tcW w:type="dxa" w:w="1728"/>
            <w:vAlign w:val="center"/>
          </w:tcPr>
          <w:p>
            <w:r>
              <w:t>Рабочее место/устройство фиксации сведений</w:t>
            </w:r>
          </w:p>
        </w:tc>
        <w:tc>
          <w:tcPr>
            <w:tcW w:type="dxa" w:w="1728"/>
            <w:vAlign w:val="center"/>
          </w:tcPr>
          <w:p>
            <w:r>
              <w:t>0,03</w:t>
            </w:r>
          </w:p>
        </w:tc>
        <w:tc>
          <w:tcPr>
            <w:tcW w:type="dxa" w:w="1728"/>
            <w:vAlign w:val="center"/>
          </w:tcPr>
          <w:p>
            <w:r>
              <w:t>16,53</w:t>
            </w:r>
          </w:p>
        </w:tc>
        <w:tc>
          <w:tcPr>
            <w:tcW w:type="dxa" w:w="1728"/>
            <w:vAlign w:val="center"/>
          </w:tcPr>
          <w:p>
            <w:r>
              <w:t>0,50</w:t>
            </w:r>
          </w:p>
        </w:tc>
      </w:tr>
      <w:tr>
        <w:tc>
          <w:tcPr>
            <w:tcW w:type="dxa" w:w="1728"/>
            <w:vAlign w:val="center"/>
          </w:tcPr>
          <w:p>
            <w:r>
              <w:t>Проверить цену</w:t>
            </w:r>
          </w:p>
        </w:tc>
        <w:tc>
          <w:tcPr>
            <w:tcW w:type="dxa" w:w="1728"/>
            <w:vAlign w:val="center"/>
          </w:tcPr>
          <w:p>
            <w:r>
              <w:t>Рабочее место/устройство фиксации сведений</w:t>
            </w:r>
          </w:p>
        </w:tc>
        <w:tc>
          <w:tcPr>
            <w:tcW w:type="dxa" w:w="1728"/>
            <w:vAlign w:val="center"/>
          </w:tcPr>
          <w:p>
            <w:r>
              <w:t>0,03</w:t>
            </w:r>
          </w:p>
        </w:tc>
        <w:tc>
          <w:tcPr>
            <w:tcW w:type="dxa" w:w="1728"/>
            <w:vAlign w:val="center"/>
          </w:tcPr>
          <w:p>
            <w:r>
              <w:t>16,53</w:t>
            </w:r>
          </w:p>
        </w:tc>
        <w:tc>
          <w:tcPr>
            <w:tcW w:type="dxa" w:w="1728"/>
            <w:vAlign w:val="center"/>
          </w:tcPr>
          <w:p>
            <w:r>
              <w:t>0,50</w:t>
            </w:r>
          </w:p>
        </w:tc>
      </w:tr>
      <w:tr>
        <w:tc>
          <w:tcPr>
            <w:tcW w:type="dxa" w:w="1728"/>
            <w:vAlign w:val="center"/>
          </w:tcPr>
          <w:p>
            <w:r>
              <w:t>Проверить состав конфигурации</w:t>
            </w:r>
          </w:p>
        </w:tc>
        <w:tc>
          <w:tcPr>
            <w:tcW w:type="dxa" w:w="1728"/>
            <w:vAlign w:val="center"/>
          </w:tcPr>
          <w:p>
            <w:r>
              <w:t>Рабочее место/устройство фиксации сведений</w:t>
            </w:r>
          </w:p>
        </w:tc>
        <w:tc>
          <w:tcPr>
            <w:tcW w:type="dxa" w:w="1728"/>
            <w:vAlign w:val="center"/>
          </w:tcPr>
          <w:p>
            <w:r>
              <w:t>0,05</w:t>
            </w:r>
          </w:p>
        </w:tc>
        <w:tc>
          <w:tcPr>
            <w:tcW w:type="dxa" w:w="1728"/>
            <w:vAlign w:val="center"/>
          </w:tcPr>
          <w:p>
            <w:r>
              <w:t>16,53</w:t>
            </w:r>
          </w:p>
        </w:tc>
        <w:tc>
          <w:tcPr>
            <w:tcW w:type="dxa" w:w="1728"/>
            <w:vAlign w:val="center"/>
          </w:tcPr>
          <w:p>
            <w:r>
              <w:t>0,83</w:t>
            </w:r>
          </w:p>
        </w:tc>
      </w:tr>
      <w:tr>
        <w:tc>
          <w:tcPr>
            <w:tcW w:type="dxa" w:w="1728"/>
            <w:vAlign w:val="center"/>
          </w:tcPr>
          <w:p>
            <w:r>
              <w:t>Проверить статус заказа</w:t>
            </w:r>
          </w:p>
        </w:tc>
        <w:tc>
          <w:tcPr>
            <w:tcW w:type="dxa" w:w="1728"/>
            <w:vAlign w:val="center"/>
          </w:tcPr>
          <w:p>
            <w:r>
              <w:t>Рабочее место/устройство фиксации сведений</w:t>
            </w:r>
          </w:p>
        </w:tc>
        <w:tc>
          <w:tcPr>
            <w:tcW w:type="dxa" w:w="1728"/>
            <w:vAlign w:val="center"/>
          </w:tcPr>
          <w:p>
            <w:r>
              <w:t>0,02</w:t>
            </w:r>
          </w:p>
        </w:tc>
        <w:tc>
          <w:tcPr>
            <w:tcW w:type="dxa" w:w="1728"/>
            <w:vAlign w:val="center"/>
          </w:tcPr>
          <w:p>
            <w:r>
              <w:t>16,53</w:t>
            </w:r>
          </w:p>
        </w:tc>
        <w:tc>
          <w:tcPr>
            <w:tcW w:type="dxa" w:w="1728"/>
            <w:vAlign w:val="center"/>
          </w:tcPr>
          <w:p>
            <w:r>
              <w:t>0,33</w:t>
            </w:r>
          </w:p>
        </w:tc>
      </w:tr>
      <w:tr>
        <w:tc>
          <w:tcPr>
            <w:tcW w:type="dxa" w:w="1728"/>
            <w:vAlign w:val="center"/>
          </w:tcPr>
          <w:p>
            <w:r>
              <w:t>Принять заказ в работу</w:t>
            </w:r>
          </w:p>
        </w:tc>
        <w:tc>
          <w:tcPr>
            <w:tcW w:type="dxa" w:w="1728"/>
            <w:vAlign w:val="center"/>
          </w:tcPr>
          <w:p>
            <w:r>
              <w:t>Рабочее место/устройство фиксации сведений</w:t>
            </w:r>
          </w:p>
        </w:tc>
        <w:tc>
          <w:tcPr>
            <w:tcW w:type="dxa" w:w="1728"/>
            <w:vAlign w:val="center"/>
          </w:tcPr>
          <w:p>
            <w:r>
              <w:t>0,02</w:t>
            </w:r>
          </w:p>
        </w:tc>
        <w:tc>
          <w:tcPr>
            <w:tcW w:type="dxa" w:w="1728"/>
            <w:vAlign w:val="center"/>
          </w:tcPr>
          <w:p>
            <w:r>
              <w:t>16,53</w:t>
            </w:r>
          </w:p>
        </w:tc>
        <w:tc>
          <w:tcPr>
            <w:tcW w:type="dxa" w:w="1728"/>
            <w:vAlign w:val="center"/>
          </w:tcPr>
          <w:p>
            <w:r>
              <w:t>0,33</w:t>
            </w:r>
          </w:p>
        </w:tc>
      </w:tr>
      <w:tr>
        <w:tc>
          <w:tcPr>
            <w:tcW w:type="dxa" w:w="1728"/>
            <w:vAlign w:val="center"/>
          </w:tcPr>
          <w:p>
            <w:r>
              <w:t>Проверить учетные данные комплектующих</w:t>
            </w:r>
          </w:p>
        </w:tc>
        <w:tc>
          <w:tcPr>
            <w:tcW w:type="dxa" w:w="1728"/>
            <w:vAlign w:val="center"/>
          </w:tcPr>
          <w:p>
            <w:r>
              <w:t>Рабочее место/устройство фиксации сведений</w:t>
            </w:r>
          </w:p>
        </w:tc>
        <w:tc>
          <w:tcPr>
            <w:tcW w:type="dxa" w:w="1728"/>
            <w:vAlign w:val="center"/>
          </w:tcPr>
          <w:p>
            <w:r>
              <w:t>0,08</w:t>
            </w:r>
          </w:p>
        </w:tc>
        <w:tc>
          <w:tcPr>
            <w:tcW w:type="dxa" w:w="1728"/>
            <w:vAlign w:val="center"/>
          </w:tcPr>
          <w:p>
            <w:r>
              <w:t>22,32</w:t>
            </w:r>
          </w:p>
        </w:tc>
        <w:tc>
          <w:tcPr>
            <w:tcW w:type="dxa" w:w="1728"/>
            <w:vAlign w:val="center"/>
          </w:tcPr>
          <w:p>
            <w:r>
              <w:t>1,79</w:t>
            </w:r>
          </w:p>
        </w:tc>
      </w:tr>
      <w:tr>
        <w:tc>
          <w:tcPr>
            <w:tcW w:type="dxa" w:w="1728"/>
            <w:vAlign w:val="center"/>
          </w:tcPr>
          <w:p>
            <w:r>
              <w:t>Привязать комплектующие и SN</w:t>
            </w:r>
          </w:p>
        </w:tc>
        <w:tc>
          <w:tcPr>
            <w:tcW w:type="dxa" w:w="1728"/>
            <w:vAlign w:val="center"/>
          </w:tcPr>
          <w:p>
            <w:r>
              <w:t>Рабочее место/устройство фиксации сведений</w:t>
            </w:r>
          </w:p>
        </w:tc>
        <w:tc>
          <w:tcPr>
            <w:tcW w:type="dxa" w:w="1728"/>
            <w:vAlign w:val="center"/>
          </w:tcPr>
          <w:p>
            <w:r>
              <w:t>0,12</w:t>
            </w:r>
          </w:p>
        </w:tc>
        <w:tc>
          <w:tcPr>
            <w:tcW w:type="dxa" w:w="1728"/>
            <w:vAlign w:val="center"/>
          </w:tcPr>
          <w:p>
            <w:r>
              <w:t>22,32</w:t>
            </w:r>
          </w:p>
        </w:tc>
        <w:tc>
          <w:tcPr>
            <w:tcW w:type="dxa" w:w="1728"/>
            <w:vAlign w:val="center"/>
          </w:tcPr>
          <w:p>
            <w:r>
              <w:t>2,68</w:t>
            </w:r>
          </w:p>
        </w:tc>
      </w:tr>
      <w:tr>
        <w:tc>
          <w:tcPr>
            <w:tcW w:type="dxa" w:w="1728"/>
            <w:vAlign w:val="center"/>
          </w:tcPr>
          <w:p>
            <w:r>
              <w:t>Сформировать задание исполнителю</w:t>
            </w:r>
          </w:p>
        </w:tc>
        <w:tc>
          <w:tcPr>
            <w:tcW w:type="dxa" w:w="1728"/>
            <w:vAlign w:val="center"/>
          </w:tcPr>
          <w:p>
            <w:r>
              <w:t>Рабочее место/устройство фиксации сведений</w:t>
            </w:r>
          </w:p>
        </w:tc>
        <w:tc>
          <w:tcPr>
            <w:tcW w:type="dxa" w:w="1728"/>
            <w:vAlign w:val="center"/>
          </w:tcPr>
          <w:p>
            <w:r>
              <w:t>0,03</w:t>
            </w:r>
          </w:p>
        </w:tc>
        <w:tc>
          <w:tcPr>
            <w:tcW w:type="dxa" w:w="1728"/>
            <w:vAlign w:val="center"/>
          </w:tcPr>
          <w:p>
            <w:r>
              <w:t>16,53</w:t>
            </w:r>
          </w:p>
        </w:tc>
        <w:tc>
          <w:tcPr>
            <w:tcW w:type="dxa" w:w="1728"/>
            <w:vAlign w:val="center"/>
          </w:tcPr>
          <w:p>
            <w:r>
              <w:t>0,50</w:t>
            </w:r>
          </w:p>
        </w:tc>
      </w:tr>
      <w:tr>
        <w:tc>
          <w:tcPr>
            <w:tcW w:type="dxa" w:w="1728"/>
            <w:vAlign w:val="center"/>
          </w:tcPr>
          <w:p>
            <w:r>
              <w:t>Зафиксировать завершение этапа платформера</w:t>
            </w:r>
          </w:p>
        </w:tc>
        <w:tc>
          <w:tcPr>
            <w:tcW w:type="dxa" w:w="1728"/>
            <w:vAlign w:val="center"/>
          </w:tcPr>
          <w:p>
            <w:r>
              <w:t>Рабочее место/устройство фиксации сведений</w:t>
            </w:r>
          </w:p>
        </w:tc>
        <w:tc>
          <w:tcPr>
            <w:tcW w:type="dxa" w:w="1728"/>
            <w:vAlign w:val="center"/>
          </w:tcPr>
          <w:p>
            <w:r>
              <w:t>0,03</w:t>
            </w:r>
          </w:p>
        </w:tc>
        <w:tc>
          <w:tcPr>
            <w:tcW w:type="dxa" w:w="1728"/>
            <w:vAlign w:val="center"/>
          </w:tcPr>
          <w:p>
            <w:r>
              <w:t>22,32</w:t>
            </w:r>
          </w:p>
        </w:tc>
        <w:tc>
          <w:tcPr>
            <w:tcW w:type="dxa" w:w="1728"/>
            <w:vAlign w:val="center"/>
          </w:tcPr>
          <w:p>
            <w:r>
              <w:t>0,66</w:t>
            </w:r>
          </w:p>
        </w:tc>
      </w:tr>
      <w:tr>
        <w:tc>
          <w:tcPr>
            <w:tcW w:type="dxa" w:w="1728"/>
            <w:vAlign w:val="center"/>
          </w:tcPr>
          <w:p>
            <w:r>
              <w:t>Зафиксировать завершение этапа сборщика ПК</w:t>
            </w:r>
          </w:p>
        </w:tc>
        <w:tc>
          <w:tcPr>
            <w:tcW w:type="dxa" w:w="1728"/>
            <w:vAlign w:val="center"/>
          </w:tcPr>
          <w:p>
            <w:r>
              <w:t>Рабочее место/устройство фиксации сведений</w:t>
            </w:r>
          </w:p>
        </w:tc>
        <w:tc>
          <w:tcPr>
            <w:tcW w:type="dxa" w:w="1728"/>
            <w:vAlign w:val="center"/>
          </w:tcPr>
          <w:p>
            <w:r>
              <w:t>0,03</w:t>
            </w:r>
          </w:p>
        </w:tc>
        <w:tc>
          <w:tcPr>
            <w:tcW w:type="dxa" w:w="1728"/>
            <w:vAlign w:val="center"/>
          </w:tcPr>
          <w:p>
            <w:r>
              <w:t>24,80</w:t>
            </w:r>
          </w:p>
        </w:tc>
        <w:tc>
          <w:tcPr>
            <w:tcW w:type="dxa" w:w="1728"/>
            <w:vAlign w:val="center"/>
          </w:tcPr>
          <w:p>
            <w:r>
              <w:t>0,74</w:t>
            </w:r>
          </w:p>
        </w:tc>
      </w:tr>
      <w:tr>
        <w:tc>
          <w:tcPr>
            <w:tcW w:type="dxa" w:w="1728"/>
            <w:vAlign w:val="center"/>
          </w:tcPr>
          <w:p>
            <w:r>
              <w:t>Передать статус на диагностику</w:t>
            </w:r>
          </w:p>
        </w:tc>
        <w:tc>
          <w:tcPr>
            <w:tcW w:type="dxa" w:w="1728"/>
            <w:vAlign w:val="center"/>
          </w:tcPr>
          <w:p>
            <w:r>
              <w:t>Рабочее место/устройство фиксации сведений</w:t>
            </w:r>
          </w:p>
        </w:tc>
        <w:tc>
          <w:tcPr>
            <w:tcW w:type="dxa" w:w="1728"/>
            <w:vAlign w:val="center"/>
          </w:tcPr>
          <w:p>
            <w:r>
              <w:t>0,02</w:t>
            </w:r>
          </w:p>
        </w:tc>
        <w:tc>
          <w:tcPr>
            <w:tcW w:type="dxa" w:w="1728"/>
            <w:vAlign w:val="center"/>
          </w:tcPr>
          <w:p>
            <w:r>
              <w:t>24,80</w:t>
            </w:r>
          </w:p>
        </w:tc>
        <w:tc>
          <w:tcPr>
            <w:tcW w:type="dxa" w:w="1728"/>
            <w:vAlign w:val="center"/>
          </w:tcPr>
          <w:p>
            <w:r>
              <w:t>0,50</w:t>
            </w:r>
          </w:p>
        </w:tc>
      </w:tr>
      <w:tr>
        <w:tc>
          <w:tcPr>
            <w:tcW w:type="dxa" w:w="1728"/>
            <w:vAlign w:val="center"/>
          </w:tcPr>
          <w:p>
            <w:r>
              <w:t>Внести результаты диагностики</w:t>
            </w:r>
          </w:p>
        </w:tc>
        <w:tc>
          <w:tcPr>
            <w:tcW w:type="dxa" w:w="1728"/>
            <w:vAlign w:val="center"/>
          </w:tcPr>
          <w:p>
            <w:r>
              <w:t>Рабочее место/устройство фиксации сведений</w:t>
            </w:r>
          </w:p>
        </w:tc>
        <w:tc>
          <w:tcPr>
            <w:tcW w:type="dxa" w:w="1728"/>
            <w:vAlign w:val="center"/>
          </w:tcPr>
          <w:p>
            <w:r>
              <w:t>0,08</w:t>
            </w:r>
          </w:p>
        </w:tc>
        <w:tc>
          <w:tcPr>
            <w:tcW w:type="dxa" w:w="1728"/>
            <w:vAlign w:val="center"/>
          </w:tcPr>
          <w:p>
            <w:r>
              <w:t>46,30</w:t>
            </w:r>
          </w:p>
        </w:tc>
        <w:tc>
          <w:tcPr>
            <w:tcW w:type="dxa" w:w="1728"/>
            <w:vAlign w:val="center"/>
          </w:tcPr>
          <w:p>
            <w:r>
              <w:t>3,70</w:t>
            </w:r>
          </w:p>
        </w:tc>
      </w:tr>
      <w:tr>
        <w:tc>
          <w:tcPr>
            <w:tcW w:type="dxa" w:w="1728"/>
            <w:vAlign w:val="center"/>
          </w:tcPr>
          <w:p>
            <w:r>
              <w:t>Зафиксировать замечания или положительный результат</w:t>
            </w:r>
          </w:p>
        </w:tc>
        <w:tc>
          <w:tcPr>
            <w:tcW w:type="dxa" w:w="1728"/>
            <w:vAlign w:val="center"/>
          </w:tcPr>
          <w:p>
            <w:r>
              <w:t>Рабочее место/устройство фиксации сведений</w:t>
            </w:r>
          </w:p>
        </w:tc>
        <w:tc>
          <w:tcPr>
            <w:tcW w:type="dxa" w:w="1728"/>
            <w:vAlign w:val="center"/>
          </w:tcPr>
          <w:p>
            <w:r>
              <w:t>0,03</w:t>
            </w:r>
          </w:p>
        </w:tc>
        <w:tc>
          <w:tcPr>
            <w:tcW w:type="dxa" w:w="1728"/>
            <w:vAlign w:val="center"/>
          </w:tcPr>
          <w:p>
            <w:r>
              <w:t>46,30</w:t>
            </w:r>
          </w:p>
        </w:tc>
        <w:tc>
          <w:tcPr>
            <w:tcW w:type="dxa" w:w="1728"/>
            <w:vAlign w:val="center"/>
          </w:tcPr>
          <w:p>
            <w:r>
              <w:t>1,39</w:t>
            </w:r>
          </w:p>
        </w:tc>
      </w:tr>
      <w:tr>
        <w:tc>
          <w:tcPr>
            <w:tcW w:type="dxa" w:w="1728"/>
            <w:vAlign w:val="center"/>
          </w:tcPr>
          <w:p>
            <w:r>
              <w:t>Проверить полноту карточки заказа</w:t>
            </w:r>
          </w:p>
        </w:tc>
        <w:tc>
          <w:tcPr>
            <w:tcW w:type="dxa" w:w="1728"/>
            <w:vAlign w:val="center"/>
          </w:tcPr>
          <w:p>
            <w:r>
              <w:t>Рабочее место/устройство фиксации сведений</w:t>
            </w:r>
          </w:p>
        </w:tc>
        <w:tc>
          <w:tcPr>
            <w:tcW w:type="dxa" w:w="1728"/>
            <w:vAlign w:val="center"/>
          </w:tcPr>
          <w:p>
            <w:r>
              <w:t>0,05</w:t>
            </w:r>
          </w:p>
        </w:tc>
        <w:tc>
          <w:tcPr>
            <w:tcW w:type="dxa" w:w="1728"/>
            <w:vAlign w:val="center"/>
          </w:tcPr>
          <w:p>
            <w:r>
              <w:t>16,53</w:t>
            </w:r>
          </w:p>
        </w:tc>
        <w:tc>
          <w:tcPr>
            <w:tcW w:type="dxa" w:w="1728"/>
            <w:vAlign w:val="center"/>
          </w:tcPr>
          <w:p>
            <w:r>
              <w:t>0,83</w:t>
            </w:r>
          </w:p>
        </w:tc>
      </w:tr>
      <w:tr>
        <w:tc>
          <w:tcPr>
            <w:tcW w:type="dxa" w:w="1728"/>
            <w:vAlign w:val="center"/>
          </w:tcPr>
          <w:p>
            <w:r>
              <w:t>Зафиксировать сведения о видеофиксации, комплектности и готовности</w:t>
            </w:r>
          </w:p>
        </w:tc>
        <w:tc>
          <w:tcPr>
            <w:tcW w:type="dxa" w:w="1728"/>
            <w:vAlign w:val="center"/>
          </w:tcPr>
          <w:p>
            <w:r>
              <w:t>Рабочее место/устройство фиксации сведений</w:t>
            </w:r>
          </w:p>
        </w:tc>
        <w:tc>
          <w:tcPr>
            <w:tcW w:type="dxa" w:w="1728"/>
            <w:vAlign w:val="center"/>
          </w:tcPr>
          <w:p>
            <w:r>
              <w:t>0,04</w:t>
            </w:r>
          </w:p>
        </w:tc>
        <w:tc>
          <w:tcPr>
            <w:tcW w:type="dxa" w:w="1728"/>
            <w:vAlign w:val="center"/>
          </w:tcPr>
          <w:p>
            <w:r>
              <w:t>11,57</w:t>
            </w:r>
          </w:p>
        </w:tc>
        <w:tc>
          <w:tcPr>
            <w:tcW w:type="dxa" w:w="1728"/>
            <w:vAlign w:val="center"/>
          </w:tcPr>
          <w:p>
            <w:r>
              <w:t>0,46</w:t>
            </w:r>
          </w:p>
        </w:tc>
      </w:tr>
      <w:tr>
        <w:tc>
          <w:tcPr>
            <w:tcW w:type="dxa" w:w="1728"/>
            <w:vAlign w:val="center"/>
          </w:tcPr>
          <w:p>
            <w:r>
              <w:t>Передать сведения в следующий процесс</w:t>
            </w:r>
          </w:p>
        </w:tc>
        <w:tc>
          <w:tcPr>
            <w:tcW w:type="dxa" w:w="1728"/>
            <w:vAlign w:val="center"/>
          </w:tcPr>
          <w:p>
            <w:r>
              <w:t>Рабочее место/устройство фиксации сведений</w:t>
            </w:r>
          </w:p>
        </w:tc>
        <w:tc>
          <w:tcPr>
            <w:tcW w:type="dxa" w:w="1728"/>
            <w:vAlign w:val="center"/>
          </w:tcPr>
          <w:p>
            <w:r>
              <w:t>0,02</w:t>
            </w:r>
          </w:p>
        </w:tc>
        <w:tc>
          <w:tcPr>
            <w:tcW w:type="dxa" w:w="1728"/>
            <w:vAlign w:val="center"/>
          </w:tcPr>
          <w:p>
            <w:r>
              <w:t>11,57</w:t>
            </w:r>
          </w:p>
        </w:tc>
        <w:tc>
          <w:tcPr>
            <w:tcW w:type="dxa" w:w="1728"/>
            <w:vAlign w:val="center"/>
          </w:tcPr>
          <w:p>
            <w:r>
              <w:t>0,23</w:t>
            </w:r>
          </w:p>
        </w:tc>
      </w:tr>
      <w:tr>
        <w:tc>
          <w:tcPr>
            <w:tcW w:type="dxa" w:w="1728"/>
            <w:vAlign w:val="center"/>
          </w:tcPr>
          <w:p>
            <w:r>
              <w:t>Итого</w:t>
            </w:r>
          </w:p>
        </w:tc>
        <w:tc>
          <w:tcPr>
            <w:tcW w:type="dxa" w:w="1728"/>
            <w:vAlign w:val="center"/>
          </w:tcPr>
          <w:p>
            <w:r/>
          </w:p>
        </w:tc>
        <w:tc>
          <w:tcPr>
            <w:tcW w:type="dxa" w:w="1728"/>
            <w:vAlign w:val="center"/>
          </w:tcPr>
          <w:p>
            <w:r>
              <w:t>0,68</w:t>
            </w:r>
          </w:p>
        </w:tc>
        <w:tc>
          <w:tcPr>
            <w:tcW w:type="dxa" w:w="1728"/>
            <w:vAlign w:val="center"/>
          </w:tcPr>
          <w:p>
            <w:r/>
          </w:p>
        </w:tc>
        <w:tc>
          <w:tcPr>
            <w:tcW w:type="dxa" w:w="1728"/>
            <w:vAlign w:val="center"/>
          </w:tcPr>
          <w:p>
            <w:r>
              <w:t>15,96</w:t>
            </w:r>
          </w:p>
        </w:tc>
      </w:tr>
    </w:tbl>
    <w:p>
      <w:pPr>
        <w:spacing w:after="120"/>
        <w:ind w:firstLine="426"/>
      </w:pPr>
      <w:r>
        <w:rPr>
          <w:b w:val="0"/>
          <w:i w:val="0"/>
        </w:rPr>
        <w:t>В таблице 3.4 приведена стоимость использования программного обеспечения.</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tcPr>
          <w:p>
            <w:r>
              <w:rPr>
                <w:b/>
              </w:rPr>
              <w:t>Программное обеспечение</w:t>
            </w:r>
          </w:p>
        </w:tc>
        <w:tc>
          <w:tcPr>
            <w:tcW w:type="dxa" w:w="2160"/>
            <w:vAlign w:val="center"/>
          </w:tcPr>
          <w:p>
            <w:r>
              <w:rPr>
                <w:b/>
              </w:rPr>
              <w:t>Назначение</w:t>
            </w:r>
          </w:p>
        </w:tc>
        <w:tc>
          <w:tcPr>
            <w:tcW w:type="dxa" w:w="2160"/>
            <w:vAlign w:val="center"/>
          </w:tcPr>
          <w:p>
            <w:r>
              <w:rPr>
                <w:b/>
              </w:rPr>
              <w:t>Порядок учета</w:t>
            </w:r>
          </w:p>
        </w:tc>
        <w:tc>
          <w:tcPr>
            <w:tcW w:type="dxa" w:w="2160"/>
            <w:vAlign w:val="center"/>
          </w:tcPr>
          <w:p>
            <w:r>
              <w:rPr>
                <w:b/>
              </w:rPr>
              <w:t>Стоимость, руб.</w:t>
            </w:r>
          </w:p>
        </w:tc>
      </w:tr>
      <w:tr>
        <w:tc>
          <w:tcPr>
            <w:tcW w:type="dxa" w:w="2160"/>
            <w:vAlign w:val="center"/>
          </w:tcPr>
          <w:p>
            <w:r>
              <w:t>Внутренняя CMS ООО «Юкомс»</w:t>
            </w:r>
          </w:p>
        </w:tc>
        <w:tc>
          <w:tcPr>
            <w:tcW w:type="dxa" w:w="2160"/>
            <w:vAlign w:val="center"/>
          </w:tcPr>
          <w:p>
            <w:r>
              <w:t>Контроль цены, состава, статусов, SN и передачи сведений</w:t>
            </w:r>
          </w:p>
        </w:tc>
        <w:tc>
          <w:tcPr>
            <w:tcW w:type="dxa" w:w="2160"/>
            <w:vAlign w:val="center"/>
          </w:tcPr>
          <w:p>
            <w:r>
              <w:t>Стоимость использования CMS на один заказ по ПР9</w:t>
            </w:r>
          </w:p>
        </w:tc>
        <w:tc>
          <w:tcPr>
            <w:tcW w:type="dxa" w:w="2160"/>
            <w:vAlign w:val="center"/>
          </w:tcPr>
          <w:p>
            <w:r>
              <w:t>407,47</w:t>
            </w:r>
          </w:p>
        </w:tc>
      </w:tr>
      <w:tr>
        <w:tc>
          <w:tcPr>
            <w:tcW w:type="dxa" w:w="2160"/>
            <w:vAlign w:val="center"/>
          </w:tcPr>
          <w:p>
            <w:r>
              <w:t>AIDA64, FurMark, CrystalDiskInfo/CrystalDiskMark, OCCT</w:t>
            </w:r>
          </w:p>
        </w:tc>
        <w:tc>
          <w:tcPr>
            <w:tcW w:type="dxa" w:w="2160"/>
            <w:vAlign w:val="center"/>
          </w:tcPr>
          <w:p>
            <w:r>
              <w:t>Источник диагностической информации</w:t>
            </w:r>
          </w:p>
        </w:tc>
        <w:tc>
          <w:tcPr>
            <w:tcW w:type="dxa" w:w="2160"/>
            <w:vAlign w:val="center"/>
          </w:tcPr>
          <w:p>
            <w:r>
              <w:t>Бесплатные утилиты; лицензионная стоимость не начисляется</w:t>
            </w:r>
          </w:p>
        </w:tc>
        <w:tc>
          <w:tcPr>
            <w:tcW w:type="dxa" w:w="2160"/>
            <w:vAlign w:val="center"/>
          </w:tcPr>
          <w:p>
            <w:r>
              <w:t>0,00</w:t>
            </w:r>
          </w:p>
        </w:tc>
      </w:tr>
    </w:tbl>
    <w:p>
      <w:pPr>
        <w:spacing w:after="120"/>
        <w:ind w:firstLine="426"/>
      </w:pPr>
      <w:r>
        <w:rPr>
          <w:b w:val="0"/>
          <w:i w:val="0"/>
        </w:rPr>
        <w:t>Накладные расходы рассчитаны как 5 % от оплаты труда и составляют 27,39 руб.</w:t>
      </w:r>
    </w:p>
    <w:p>
      <w:pPr>
        <w:spacing w:after="120"/>
        <w:ind w:firstLine="426"/>
      </w:pPr>
      <w:r>
        <w:rPr>
          <w:b w:val="0"/>
          <w:i w:val="0"/>
        </w:rPr>
        <w:t>В таблице 3.5 приведена итоговая стоимость информационного сопровождения заказа as-is.</w:t>
      </w:r>
    </w:p>
    <w:tbl>
      <w:tblPr>
        <w:tblStyle w:val="TableGrid"/>
        <w:tblW w:type="auto" w:w="0"/>
        <w:jc w:val="center"/>
        <w:tblLook w:firstColumn="1" w:firstRow="1" w:lastColumn="0" w:lastRow="0" w:noHBand="0" w:noVBand="1" w:val="04A0"/>
      </w:tblPr>
      <w:tblGrid>
        <w:gridCol w:w="4320"/>
        <w:gridCol w:w="4320"/>
      </w:tblGrid>
      <w:tr>
        <w:tc>
          <w:tcPr>
            <w:tcW w:type="dxa" w:w="4320"/>
            <w:vAlign w:val="center"/>
          </w:tcPr>
          <w:p>
            <w:r>
              <w:rPr>
                <w:b/>
              </w:rPr>
              <w:t>Показатель</w:t>
            </w:r>
          </w:p>
        </w:tc>
        <w:tc>
          <w:tcPr>
            <w:tcW w:type="dxa" w:w="4320"/>
            <w:vAlign w:val="center"/>
          </w:tcPr>
          <w:p>
            <w:r>
              <w:rPr>
                <w:b/>
              </w:rPr>
              <w:t>Затраты, руб.</w:t>
            </w:r>
          </w:p>
        </w:tc>
      </w:tr>
      <w:tr>
        <w:tc>
          <w:tcPr>
            <w:tcW w:type="dxa" w:w="4320"/>
            <w:vAlign w:val="center"/>
          </w:tcPr>
          <w:p>
            <w:r>
              <w:t>Стоимость оплаты труда</w:t>
            </w:r>
          </w:p>
        </w:tc>
        <w:tc>
          <w:tcPr>
            <w:tcW w:type="dxa" w:w="4320"/>
            <w:vAlign w:val="center"/>
          </w:tcPr>
          <w:p>
            <w:r>
              <w:t>547,74</w:t>
            </w:r>
          </w:p>
        </w:tc>
      </w:tr>
      <w:tr>
        <w:tc>
          <w:tcPr>
            <w:tcW w:type="dxa" w:w="4320"/>
            <w:vAlign w:val="center"/>
          </w:tcPr>
          <w:p>
            <w:r>
              <w:t>Страховые взносы (30,6 %)</w:t>
            </w:r>
          </w:p>
        </w:tc>
        <w:tc>
          <w:tcPr>
            <w:tcW w:type="dxa" w:w="4320"/>
            <w:vAlign w:val="center"/>
          </w:tcPr>
          <w:p>
            <w:r>
              <w:t>167,61</w:t>
            </w:r>
          </w:p>
        </w:tc>
      </w:tr>
      <w:tr>
        <w:tc>
          <w:tcPr>
            <w:tcW w:type="dxa" w:w="4320"/>
            <w:vAlign w:val="center"/>
          </w:tcPr>
          <w:p>
            <w:r>
              <w:t>Стоимость использования основных средств</w:t>
            </w:r>
          </w:p>
        </w:tc>
        <w:tc>
          <w:tcPr>
            <w:tcW w:type="dxa" w:w="4320"/>
            <w:vAlign w:val="center"/>
          </w:tcPr>
          <w:p>
            <w:r>
              <w:t>15,96</w:t>
            </w:r>
          </w:p>
        </w:tc>
      </w:tr>
      <w:tr>
        <w:tc>
          <w:tcPr>
            <w:tcW w:type="dxa" w:w="4320"/>
            <w:vAlign w:val="center"/>
          </w:tcPr>
          <w:p>
            <w:r>
              <w:t>Стоимость использования программного обеспечения</w:t>
            </w:r>
          </w:p>
        </w:tc>
        <w:tc>
          <w:tcPr>
            <w:tcW w:type="dxa" w:w="4320"/>
            <w:vAlign w:val="center"/>
          </w:tcPr>
          <w:p>
            <w:r>
              <w:t>407,47</w:t>
            </w:r>
          </w:p>
        </w:tc>
      </w:tr>
      <w:tr>
        <w:tc>
          <w:tcPr>
            <w:tcW w:type="dxa" w:w="4320"/>
            <w:vAlign w:val="center"/>
          </w:tcPr>
          <w:p>
            <w:r>
              <w:t>Накладные расходы (5 %)</w:t>
            </w:r>
          </w:p>
        </w:tc>
        <w:tc>
          <w:tcPr>
            <w:tcW w:type="dxa" w:w="4320"/>
            <w:vAlign w:val="center"/>
          </w:tcPr>
          <w:p>
            <w:r>
              <w:t>27,39</w:t>
            </w:r>
          </w:p>
        </w:tc>
      </w:tr>
      <w:tr>
        <w:tc>
          <w:tcPr>
            <w:tcW w:type="dxa" w:w="4320"/>
            <w:vAlign w:val="center"/>
          </w:tcPr>
          <w:p>
            <w:r>
              <w:t>Итого</w:t>
            </w:r>
          </w:p>
        </w:tc>
        <w:tc>
          <w:tcPr>
            <w:tcW w:type="dxa" w:w="4320"/>
            <w:vAlign w:val="center"/>
          </w:tcPr>
          <w:p>
            <w:r>
              <w:t>1 166,17</w:t>
            </w:r>
          </w:p>
        </w:tc>
      </w:tr>
    </w:tbl>
    <w:p>
      <w:pPr>
        <w:spacing w:after="120"/>
        <w:ind w:firstLine="426"/>
      </w:pPr>
      <w:r>
        <w:rPr>
          <w:b w:val="0"/>
          <w:i w:val="0"/>
        </w:rPr>
        <w:t>Итоговая расчетная стоимость информационного сопровождения одного заказа составляет 1 166,17 руб. Данный показатель не отражает стоимость физического производства компьютерной системы, физического тестирования, упаковки и доставки.</w:t>
      </w:r>
    </w:p>
    <w:p>
      <w:pPr>
        <w:spacing w:after="120"/>
        <w:ind w:firstLine="426"/>
      </w:pPr>
      <w:r>
        <w:rPr>
          <w:b w:val="0"/>
          <w:i w:val="0"/>
        </w:rPr>
        <w:t>Результаты анализа показывают, что дальнейший реинжиниринг должен быть направлен на автоматическую проверку полноты данных, контроль ошибок в цене, составе и статусе заказа, обязательную привязку SN, единую статусную модель, шаблоны переходов и правила обработки исключений в CMS/BPMSoft.</w:t>
      </w:r>
    </w:p>
    <w:p>
      <w:pPr>
        <w:spacing w:after="120"/>
        <w:ind w:firstLine="0"/>
      </w:pPr>
      <w:r>
        <w:rPr>
          <w:b/>
          <w:i w:val="0"/>
        </w:rPr>
        <w:t>4 РЕИНЖИНИРИНГ БИЗНЕС-ПРОЦЕССА</w:t>
      </w:r>
    </w:p>
    <w:p>
      <w:pPr>
        <w:spacing w:after="120"/>
        <w:ind w:firstLine="0"/>
      </w:pPr>
      <w:r>
        <w:rPr>
          <w:b/>
          <w:i w:val="0"/>
        </w:rPr>
        <w:t>4.1 Модель бизнес-процесса (to-be)</w:t>
      </w:r>
    </w:p>
    <w:p>
      <w:pPr>
        <w:spacing w:after="120"/>
        <w:ind w:firstLine="426"/>
      </w:pPr>
      <w:r>
        <w:rPr>
          <w:b w:val="0"/>
          <w:i w:val="0"/>
        </w:rPr>
        <w:t>Реинжиниринг бизнес-процесса направлен на устранение проблем, выявленных в разделе 3: ручной проверки цены, состава и статуса заказа, риска ошибок при привязке серийных номеров, отсутствия автоматического контроля полноты карточки, задержек передачи статусов и слабой фиксации причин возврата на уточнение.</w:t>
      </w:r>
    </w:p>
    <w:p>
      <w:pPr>
        <w:spacing w:after="120"/>
        <w:ind w:firstLine="426"/>
      </w:pPr>
      <w:r>
        <w:rPr>
          <w:b w:val="0"/>
          <w:i w:val="0"/>
        </w:rPr>
        <w:t>Вариант to-be предполагает автоматизацию информационного сопровождения заказа во внутренней CMS ООО «Юкомс». Программное обеспечение: внутренняя CMS ООО «Юкомс». Разработчик: ООО «Юкомс» / внутренний ИТ-контур компании. Класс информационной системы: внутрикорпоративная информационная система управления заказами, статусами и контрольными данными производственного процесса.</w:t>
      </w:r>
    </w:p>
    <w:p>
      <w:pPr>
        <w:spacing w:after="120"/>
        <w:ind w:firstLine="426"/>
      </w:pPr>
      <w:r>
        <w:rPr>
          <w:b w:val="0"/>
          <w:i w:val="0"/>
        </w:rPr>
        <w:t>CMS охватывает весь исследуемый процесс: получение заказа, автоматическую проверку цены, состава и статуса, формирование задания исполнителю, обязательную фиксацию SN, внесение результатов диагностики, контроль полноты карточки и передачу сведений о готовности в следующий процесс. Состав исполнителей не меняется: руководитель отдела производства, платформер, сборщик ПК, инженер тестирования компьютерной техники и упаковщик.</w:t>
      </w:r>
    </w:p>
    <w:p>
      <w:pPr>
        <w:spacing w:after="120"/>
        <w:ind w:firstLine="426"/>
      </w:pPr>
      <w:r>
        <w:rPr>
          <w:b w:val="0"/>
          <w:i w:val="0"/>
        </w:rPr>
        <w:t>Основные изменения по сравнению с as-is: ручные проверки цены, состава и статуса заменяются проверкой исключений по контрольным признакам CMS; привязка SN выполняется через обязательную форму; результаты диагностики фиксируются по шаблону; карточка заказа не может быть передана дальше при неполных данных; при наличии замечаний система блокирует переход к финальному контролю до повторной фиксации результата.</w:t>
      </w:r>
    </w:p>
    <w:p>
      <w:pPr>
        <w:spacing w:after="120"/>
        <w:ind w:firstLine="426"/>
      </w:pPr>
      <w:r>
        <w:rPr>
          <w:b/>
          <w:i w:val="0"/>
        </w:rPr>
        <w:t>Описание модели to-be в нотации IDEF0</w:t>
      </w:r>
    </w:p>
    <w:p>
      <w:pPr>
        <w:spacing w:after="120"/>
        <w:ind w:firstLine="426"/>
      </w:pPr>
      <w:r>
        <w:rPr>
          <w:b w:val="0"/>
          <w:i w:val="0"/>
        </w:rPr>
        <w:t>Контекстная диаграмма IDEF0 to-be сохраняет прежние границы процесса, но механизм выполнения дополняется автоматизированными контрольными функциями CMS. Входы остаются прежними: карточка заказа, спецификация конфигурации, учетные данные склада и статус заказа. Управления дополняются правилами автоматической проверки полноты карточки, обязательности SN и обработки диагностических замечаний. Выходами являются проверенная карточка заказа, подтвержденные SN, структурированный результат диагностики и отметка о готовности.</w:t>
      </w:r>
    </w:p>
    <w:p>
      <w:pPr>
        <w:spacing w:after="120"/>
        <w:ind w:firstLine="0"/>
        <w:jc w:val="center"/>
      </w:pPr>
      <w:r>
        <w:rPr>
          <w:b w:val="0"/>
          <w:i/>
        </w:rPr>
        <w:t>Место для рисунка 4.1: Контекстная диаграмма IDEF0 to-be A-0. Изменения будут выделены цветом или символами.</w:t>
      </w:r>
    </w:p>
    <w:p>
      <w:pPr>
        <w:spacing w:after="120"/>
        <w:ind w:firstLine="426"/>
      </w:pPr>
      <w:r>
        <w:rPr>
          <w:b w:val="0"/>
          <w:i w:val="0"/>
        </w:rPr>
        <w:t>Декомпозиция A0 to-be сохраняет пять подпроцессов A1-A5, чтобы структура соответствовала as-is. Изменения вносятся в способы выполнения операций: A1 получает автоматическую проверку цены, состава и статуса; A2 получает обязательную форму привязки комплектующих и SN; A4 получает шаблон диагностических результатов и блокировку передачи дальше при замечаниях; A5 получает автоматический контроль полноты карточки заказа.</w:t>
      </w:r>
    </w:p>
    <w:p>
      <w:pPr>
        <w:spacing w:after="120"/>
        <w:ind w:firstLine="0"/>
        <w:jc w:val="center"/>
      </w:pPr>
      <w:r>
        <w:rPr>
          <w:b w:val="0"/>
          <w:i/>
        </w:rPr>
        <w:t>Место для рисунка 4.2: Декомпозиция IDEF0 to-be A0. Изменения будут выделены цветом или символами.</w:t>
      </w:r>
    </w:p>
    <w:p>
      <w:pPr>
        <w:spacing w:after="120"/>
        <w:ind w:firstLine="426"/>
      </w:pPr>
      <w:r>
        <w:rPr>
          <w:b w:val="0"/>
          <w:i w:val="0"/>
        </w:rPr>
        <w:t>Декомпозиция A4 to-be включает A41 «Получение статуса о передаче на диагностику», A42 «Внесение или прикрепление результатов диагностических утилит», A43 «Автоматическая проверка заполненности результата диагностики», A44 «Блокировка передачи дальше и возврат информации при замечаниях», A45 «Передача положительного результата на финальный контроль».</w:t>
      </w:r>
    </w:p>
    <w:p>
      <w:pPr>
        <w:spacing w:after="120"/>
        <w:ind w:firstLine="0"/>
        <w:jc w:val="center"/>
      </w:pPr>
      <w:r>
        <w:rPr>
          <w:b w:val="0"/>
          <w:i/>
        </w:rPr>
        <w:t>Место для рисунка 4.3: Декомпозиция подпроцесса A4 «Фиксация результатов диагностики» IDEF0 to-be. Изменения будут выделены цветом или символами.</w:t>
      </w:r>
    </w:p>
    <w:p>
      <w:pPr>
        <w:spacing w:after="120"/>
        <w:ind w:firstLine="426"/>
      </w:pPr>
      <w:r>
        <w:rPr>
          <w:b/>
          <w:i w:val="0"/>
        </w:rPr>
        <w:t>Описание модели to-be в нотации BPMN 2.0</w:t>
      </w:r>
    </w:p>
    <w:p>
      <w:pPr>
        <w:spacing w:after="120"/>
        <w:ind w:firstLine="426"/>
      </w:pPr>
      <w:r>
        <w:rPr>
          <w:b w:val="0"/>
          <w:i w:val="0"/>
        </w:rPr>
        <w:t>BPMN-модель to-be строится по тем же дорожкам участников, но часть ручных задач заменяется автоматическими проверками CMS. После получения заказа система формирует контрольные признаки по цене, составу и статусу, а руководитель отдела производства проверяет только исключения. При некорректных данных процесс уходит на уточнение; при корректных данных заказ принимается в работу.</w:t>
      </w:r>
    </w:p>
    <w:p>
      <w:pPr>
        <w:spacing w:after="120"/>
        <w:ind w:firstLine="426"/>
      </w:pPr>
      <w:r>
        <w:rPr>
          <w:b w:val="0"/>
          <w:i w:val="0"/>
        </w:rPr>
        <w:t>На диагностическом участке инженер тестирования вносит или прикрепляет результаты диагностических утилит. CMS проверяет заполненность обязательных полей и наличие замечаний. Если замечания есть, переход к финальному контролю блокируется, а информация возвращается на устранение причины. Если замечаний нет, положительный результат передается на финальный контроль и далее в следующий процесс.</w:t>
      </w:r>
    </w:p>
    <w:p>
      <w:pPr>
        <w:spacing w:after="120"/>
        <w:ind w:firstLine="0"/>
        <w:jc w:val="center"/>
      </w:pPr>
      <w:r>
        <w:rPr>
          <w:b w:val="0"/>
          <w:i/>
        </w:rPr>
        <w:t>Место для рисунка 4.4: Модель to-be в нотации BPMN 2.0. Изменения будут выделены цветом или символами.</w:t>
      </w:r>
    </w:p>
    <w:p>
      <w:pPr>
        <w:spacing w:after="120"/>
        <w:ind w:firstLine="426"/>
      </w:pPr>
      <w:r>
        <w:rPr>
          <w:b/>
          <w:i w:val="0"/>
        </w:rPr>
        <w:t>Описание модели to-be в нотации EPC/eEPC</w:t>
      </w:r>
    </w:p>
    <w:p>
      <w:pPr>
        <w:spacing w:after="120"/>
        <w:ind w:firstLine="426"/>
      </w:pPr>
      <w:r>
        <w:rPr>
          <w:b w:val="0"/>
          <w:i w:val="0"/>
        </w:rPr>
        <w:t>В EPC/eEPC to-be функции и события согласуются с IDEF0 и BPMN. Добавляются контрольные события CMS: «контрольные признаки заказа сформированы», «исключения не выявлены», «SN заполнены в обязательной форме», «результат диагностики заполнен», «передача дальше заблокирована из-за замечаний», «карточка заказа прошла финальный контроль полноты».</w:t>
      </w:r>
    </w:p>
    <w:p>
      <w:pPr>
        <w:spacing w:after="120"/>
        <w:ind w:firstLine="0"/>
        <w:jc w:val="center"/>
      </w:pPr>
      <w:r>
        <w:rPr>
          <w:b w:val="0"/>
          <w:i/>
        </w:rPr>
        <w:t>Место для рисунка 4.5: Модель to-be в нотации EPC/eEPC. Изменения будут выделены цветом или символами.</w:t>
      </w:r>
    </w:p>
    <w:p>
      <w:pPr>
        <w:spacing w:after="120"/>
        <w:ind w:firstLine="426"/>
      </w:pPr>
      <w:r>
        <w:rPr>
          <w:b w:val="0"/>
          <w:i w:val="0"/>
        </w:rPr>
        <w:t>Ожидаемый эффект to-be заключается в сокращении ручных проверок, снижении риска ошибок при фиксации SN, ускорении передачи статусов, повышении прозрачности диагностических замечаний и исключении передачи неполной карточки заказа в следующий процесс.</w:t>
      </w:r>
    </w:p>
    <w:p>
      <w:pPr>
        <w:spacing w:after="120"/>
        <w:ind w:firstLine="0"/>
      </w:pPr>
      <w:r>
        <w:rPr>
          <w:b/>
          <w:i w:val="0"/>
        </w:rPr>
        <w:t>4.2 Оценка изменения характеристик бизнес-процесса</w:t>
      </w:r>
    </w:p>
    <w:p>
      <w:pPr>
        <w:spacing w:after="120"/>
        <w:ind w:firstLine="426"/>
      </w:pPr>
      <w:r>
        <w:rPr>
          <w:b w:val="0"/>
          <w:i w:val="0"/>
        </w:rPr>
        <w:t>Оценка изменения характеристик выполнена методом функционально-стоимостного анализа для базового сценария без замечаний. В расчет включены только информационные операции сопровождения заказа. Физическая сборка, физическое тестирование, физическая упаковка и доставка не включаются в трудоемкость процесса.</w:t>
      </w:r>
    </w:p>
    <w:p>
      <w:pPr>
        <w:spacing w:after="120"/>
        <w:ind w:firstLine="426"/>
      </w:pPr>
      <w:r>
        <w:rPr>
          <w:b w:val="0"/>
          <w:i w:val="0"/>
        </w:rPr>
        <w:t>В таблице 4.1 приведен расчет стоимости оплаты труда по операциям to-be.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tcPr>
          <w:p>
            <w:r>
              <w:rPr>
                <w:b/>
              </w:rPr>
              <w:t>Операция to-be</w:t>
            </w:r>
          </w:p>
        </w:tc>
        <w:tc>
          <w:tcPr>
            <w:tcW w:type="dxa" w:w="1728"/>
            <w:vAlign w:val="center"/>
          </w:tcPr>
          <w:p>
            <w:r>
              <w:rPr>
                <w:b/>
              </w:rPr>
              <w:t>Исполнитель</w:t>
            </w:r>
          </w:p>
        </w:tc>
        <w:tc>
          <w:tcPr>
            <w:tcW w:type="dxa" w:w="1728"/>
            <w:vAlign w:val="center"/>
          </w:tcPr>
          <w:p>
            <w:r>
              <w:rPr>
                <w:b/>
              </w:rPr>
              <w:t>Ставка, руб./ч</w:t>
            </w:r>
          </w:p>
        </w:tc>
        <w:tc>
          <w:tcPr>
            <w:tcW w:type="dxa" w:w="1728"/>
            <w:vAlign w:val="center"/>
          </w:tcPr>
          <w:p>
            <w:r>
              <w:rPr>
                <w:b/>
              </w:rPr>
              <w:t>Время, ч</w:t>
            </w:r>
          </w:p>
        </w:tc>
        <w:tc>
          <w:tcPr>
            <w:tcW w:type="dxa" w:w="1728"/>
            <w:vAlign w:val="center"/>
          </w:tcPr>
          <w:p>
            <w:r>
              <w:rPr>
                <w:b/>
              </w:rPr>
              <w:t>Стоимость, руб.</w:t>
            </w:r>
          </w:p>
        </w:tc>
      </w:tr>
      <w:tr>
        <w:tc>
          <w:tcPr>
            <w:tcW w:type="dxa" w:w="1728"/>
            <w:vAlign w:val="center"/>
          </w:tcPr>
          <w:p>
            <w:r>
              <w:t>Получить заказ и автоматические контрольные признаки CMS</w:t>
            </w:r>
          </w:p>
        </w:tc>
        <w:tc>
          <w:tcPr>
            <w:tcW w:type="dxa" w:w="1728"/>
            <w:vAlign w:val="center"/>
          </w:tcPr>
          <w:p>
            <w:r>
              <w:t>Руководитель отдела производства</w:t>
            </w:r>
          </w:p>
        </w:tc>
        <w:tc>
          <w:tcPr>
            <w:tcW w:type="dxa" w:w="1728"/>
            <w:vAlign w:val="center"/>
          </w:tcPr>
          <w:p>
            <w:r>
              <w:t>1 071,43</w:t>
            </w:r>
          </w:p>
        </w:tc>
        <w:tc>
          <w:tcPr>
            <w:tcW w:type="dxa" w:w="1728"/>
            <w:vAlign w:val="center"/>
          </w:tcPr>
          <w:p>
            <w:r>
              <w:t>0,01</w:t>
            </w:r>
          </w:p>
        </w:tc>
        <w:tc>
          <w:tcPr>
            <w:tcW w:type="dxa" w:w="1728"/>
            <w:vAlign w:val="center"/>
          </w:tcPr>
          <w:p>
            <w:r>
              <w:t>10,71</w:t>
            </w:r>
          </w:p>
        </w:tc>
      </w:tr>
      <w:tr>
        <w:tc>
          <w:tcPr>
            <w:tcW w:type="dxa" w:w="1728"/>
            <w:vAlign w:val="center"/>
          </w:tcPr>
          <w:p>
            <w:r>
              <w:t>Проверить исключения по цене, составу и статусу</w:t>
            </w:r>
          </w:p>
        </w:tc>
        <w:tc>
          <w:tcPr>
            <w:tcW w:type="dxa" w:w="1728"/>
            <w:vAlign w:val="center"/>
          </w:tcPr>
          <w:p>
            <w:r>
              <w:t>Руководитель отдела производства</w:t>
            </w:r>
          </w:p>
        </w:tc>
        <w:tc>
          <w:tcPr>
            <w:tcW w:type="dxa" w:w="1728"/>
            <w:vAlign w:val="center"/>
          </w:tcPr>
          <w:p>
            <w:r>
              <w:t>1 071,43</w:t>
            </w:r>
          </w:p>
        </w:tc>
        <w:tc>
          <w:tcPr>
            <w:tcW w:type="dxa" w:w="1728"/>
            <w:vAlign w:val="center"/>
          </w:tcPr>
          <w:p>
            <w:r>
              <w:t>0,02</w:t>
            </w:r>
          </w:p>
        </w:tc>
        <w:tc>
          <w:tcPr>
            <w:tcW w:type="dxa" w:w="1728"/>
            <w:vAlign w:val="center"/>
          </w:tcPr>
          <w:p>
            <w:r>
              <w:t>21,43</w:t>
            </w:r>
          </w:p>
        </w:tc>
      </w:tr>
      <w:tr>
        <w:tc>
          <w:tcPr>
            <w:tcW w:type="dxa" w:w="1728"/>
            <w:vAlign w:val="center"/>
          </w:tcPr>
          <w:p>
            <w:r>
              <w:t>Принять заказ в работу</w:t>
            </w:r>
          </w:p>
        </w:tc>
        <w:tc>
          <w:tcPr>
            <w:tcW w:type="dxa" w:w="1728"/>
            <w:vAlign w:val="center"/>
          </w:tcPr>
          <w:p>
            <w:r>
              <w:t>Руководитель отдела производства</w:t>
            </w:r>
          </w:p>
        </w:tc>
        <w:tc>
          <w:tcPr>
            <w:tcW w:type="dxa" w:w="1728"/>
            <w:vAlign w:val="center"/>
          </w:tcPr>
          <w:p>
            <w:r>
              <w:t>1 071,43</w:t>
            </w:r>
          </w:p>
        </w:tc>
        <w:tc>
          <w:tcPr>
            <w:tcW w:type="dxa" w:w="1728"/>
            <w:vAlign w:val="center"/>
          </w:tcPr>
          <w:p>
            <w:r>
              <w:t>0,01</w:t>
            </w:r>
          </w:p>
        </w:tc>
        <w:tc>
          <w:tcPr>
            <w:tcW w:type="dxa" w:w="1728"/>
            <w:vAlign w:val="center"/>
          </w:tcPr>
          <w:p>
            <w:r>
              <w:t>10,71</w:t>
            </w:r>
          </w:p>
        </w:tc>
      </w:tr>
      <w:tr>
        <w:tc>
          <w:tcPr>
            <w:tcW w:type="dxa" w:w="1728"/>
            <w:vAlign w:val="center"/>
          </w:tcPr>
          <w:p>
            <w:r>
              <w:t>Проверить учетные данные комплектующих</w:t>
            </w:r>
          </w:p>
        </w:tc>
        <w:tc>
          <w:tcPr>
            <w:tcW w:type="dxa" w:w="1728"/>
            <w:vAlign w:val="center"/>
          </w:tcPr>
          <w:p>
            <w:r>
              <w:t>Платформер</w:t>
            </w:r>
          </w:p>
        </w:tc>
        <w:tc>
          <w:tcPr>
            <w:tcW w:type="dxa" w:w="1728"/>
            <w:vAlign w:val="center"/>
          </w:tcPr>
          <w:p>
            <w:r>
              <w:t>654,76</w:t>
            </w:r>
          </w:p>
        </w:tc>
        <w:tc>
          <w:tcPr>
            <w:tcW w:type="dxa" w:w="1728"/>
            <w:vAlign w:val="center"/>
          </w:tcPr>
          <w:p>
            <w:r>
              <w:t>0,04</w:t>
            </w:r>
          </w:p>
        </w:tc>
        <w:tc>
          <w:tcPr>
            <w:tcW w:type="dxa" w:w="1728"/>
            <w:vAlign w:val="center"/>
          </w:tcPr>
          <w:p>
            <w:r>
              <w:t>26,19</w:t>
            </w:r>
          </w:p>
        </w:tc>
      </w:tr>
      <w:tr>
        <w:tc>
          <w:tcPr>
            <w:tcW w:type="dxa" w:w="1728"/>
            <w:vAlign w:val="center"/>
          </w:tcPr>
          <w:p>
            <w:r>
              <w:t>Привязать комплектующие и SN через обязательную форму</w:t>
            </w:r>
          </w:p>
        </w:tc>
        <w:tc>
          <w:tcPr>
            <w:tcW w:type="dxa" w:w="1728"/>
            <w:vAlign w:val="center"/>
          </w:tcPr>
          <w:p>
            <w:r>
              <w:t>Платформер</w:t>
            </w:r>
          </w:p>
        </w:tc>
        <w:tc>
          <w:tcPr>
            <w:tcW w:type="dxa" w:w="1728"/>
            <w:vAlign w:val="center"/>
          </w:tcPr>
          <w:p>
            <w:r>
              <w:t>654,76</w:t>
            </w:r>
          </w:p>
        </w:tc>
        <w:tc>
          <w:tcPr>
            <w:tcW w:type="dxa" w:w="1728"/>
            <w:vAlign w:val="center"/>
          </w:tcPr>
          <w:p>
            <w:r>
              <w:t>0,07</w:t>
            </w:r>
          </w:p>
        </w:tc>
        <w:tc>
          <w:tcPr>
            <w:tcW w:type="dxa" w:w="1728"/>
            <w:vAlign w:val="center"/>
          </w:tcPr>
          <w:p>
            <w:r>
              <w:t>45,83</w:t>
            </w:r>
          </w:p>
        </w:tc>
      </w:tr>
      <w:tr>
        <w:tc>
          <w:tcPr>
            <w:tcW w:type="dxa" w:w="1728"/>
            <w:vAlign w:val="center"/>
          </w:tcPr>
          <w:p>
            <w:r>
              <w:t>Сформировать задание исполнителю из шаблона</w:t>
            </w:r>
          </w:p>
        </w:tc>
        <w:tc>
          <w:tcPr>
            <w:tcW w:type="dxa" w:w="1728"/>
            <w:vAlign w:val="center"/>
          </w:tcPr>
          <w:p>
            <w:r>
              <w:t>Платформер</w:t>
            </w:r>
          </w:p>
        </w:tc>
        <w:tc>
          <w:tcPr>
            <w:tcW w:type="dxa" w:w="1728"/>
            <w:vAlign w:val="center"/>
          </w:tcPr>
          <w:p>
            <w:r>
              <w:t>654,76</w:t>
            </w:r>
          </w:p>
        </w:tc>
        <w:tc>
          <w:tcPr>
            <w:tcW w:type="dxa" w:w="1728"/>
            <w:vAlign w:val="center"/>
          </w:tcPr>
          <w:p>
            <w:r>
              <w:t>0,02</w:t>
            </w:r>
          </w:p>
        </w:tc>
        <w:tc>
          <w:tcPr>
            <w:tcW w:type="dxa" w:w="1728"/>
            <w:vAlign w:val="center"/>
          </w:tcPr>
          <w:p>
            <w:r>
              <w:t>13,10</w:t>
            </w:r>
          </w:p>
        </w:tc>
      </w:tr>
      <w:tr>
        <w:tc>
          <w:tcPr>
            <w:tcW w:type="dxa" w:w="1728"/>
            <w:vAlign w:val="center"/>
          </w:tcPr>
          <w:p>
            <w:r>
              <w:t>Зафиксировать завершение этапа платформера</w:t>
            </w:r>
          </w:p>
        </w:tc>
        <w:tc>
          <w:tcPr>
            <w:tcW w:type="dxa" w:w="1728"/>
            <w:vAlign w:val="center"/>
          </w:tcPr>
          <w:p>
            <w:r>
              <w:t>Платформер</w:t>
            </w:r>
          </w:p>
        </w:tc>
        <w:tc>
          <w:tcPr>
            <w:tcW w:type="dxa" w:w="1728"/>
            <w:vAlign w:val="center"/>
          </w:tcPr>
          <w:p>
            <w:r>
              <w:t>654,76</w:t>
            </w:r>
          </w:p>
        </w:tc>
        <w:tc>
          <w:tcPr>
            <w:tcW w:type="dxa" w:w="1728"/>
            <w:vAlign w:val="center"/>
          </w:tcPr>
          <w:p>
            <w:r>
              <w:t>0,01</w:t>
            </w:r>
          </w:p>
        </w:tc>
        <w:tc>
          <w:tcPr>
            <w:tcW w:type="dxa" w:w="1728"/>
            <w:vAlign w:val="center"/>
          </w:tcPr>
          <w:p>
            <w:r>
              <w:t>6,55</w:t>
            </w:r>
          </w:p>
        </w:tc>
      </w:tr>
      <w:tr>
        <w:tc>
          <w:tcPr>
            <w:tcW w:type="dxa" w:w="1728"/>
            <w:vAlign w:val="center"/>
          </w:tcPr>
          <w:p>
            <w:r>
              <w:t>Зафиксировать завершение этапа сборщика ПК</w:t>
            </w:r>
          </w:p>
        </w:tc>
        <w:tc>
          <w:tcPr>
            <w:tcW w:type="dxa" w:w="1728"/>
            <w:vAlign w:val="center"/>
          </w:tcPr>
          <w:p>
            <w:r>
              <w:t>Сборщик ПК</w:t>
            </w:r>
          </w:p>
        </w:tc>
        <w:tc>
          <w:tcPr>
            <w:tcW w:type="dxa" w:w="1728"/>
            <w:vAlign w:val="center"/>
          </w:tcPr>
          <w:p>
            <w:r>
              <w:t>595,24</w:t>
            </w:r>
          </w:p>
        </w:tc>
        <w:tc>
          <w:tcPr>
            <w:tcW w:type="dxa" w:w="1728"/>
            <w:vAlign w:val="center"/>
          </w:tcPr>
          <w:p>
            <w:r>
              <w:t>0,02</w:t>
            </w:r>
          </w:p>
        </w:tc>
        <w:tc>
          <w:tcPr>
            <w:tcW w:type="dxa" w:w="1728"/>
            <w:vAlign w:val="center"/>
          </w:tcPr>
          <w:p>
            <w:r>
              <w:t>11,90</w:t>
            </w:r>
          </w:p>
        </w:tc>
      </w:tr>
      <w:tr>
        <w:tc>
          <w:tcPr>
            <w:tcW w:type="dxa" w:w="1728"/>
            <w:vAlign w:val="center"/>
          </w:tcPr>
          <w:p>
            <w:r>
              <w:t>Передать статус на диагностику</w:t>
            </w:r>
          </w:p>
        </w:tc>
        <w:tc>
          <w:tcPr>
            <w:tcW w:type="dxa" w:w="1728"/>
            <w:vAlign w:val="center"/>
          </w:tcPr>
          <w:p>
            <w:r>
              <w:t>Сборщик ПК</w:t>
            </w:r>
          </w:p>
        </w:tc>
        <w:tc>
          <w:tcPr>
            <w:tcW w:type="dxa" w:w="1728"/>
            <w:vAlign w:val="center"/>
          </w:tcPr>
          <w:p>
            <w:r>
              <w:t>595,24</w:t>
            </w:r>
          </w:p>
        </w:tc>
        <w:tc>
          <w:tcPr>
            <w:tcW w:type="dxa" w:w="1728"/>
            <w:vAlign w:val="center"/>
          </w:tcPr>
          <w:p>
            <w:r>
              <w:t>0,01</w:t>
            </w:r>
          </w:p>
        </w:tc>
        <w:tc>
          <w:tcPr>
            <w:tcW w:type="dxa" w:w="1728"/>
            <w:vAlign w:val="center"/>
          </w:tcPr>
          <w:p>
            <w:r>
              <w:t>5,95</w:t>
            </w:r>
          </w:p>
        </w:tc>
      </w:tr>
      <w:tr>
        <w:tc>
          <w:tcPr>
            <w:tcW w:type="dxa" w:w="1728"/>
            <w:vAlign w:val="center"/>
          </w:tcPr>
          <w:p>
            <w:r>
              <w:t>Внести/прикрепить результаты диагностики</w:t>
            </w:r>
          </w:p>
        </w:tc>
        <w:tc>
          <w:tcPr>
            <w:tcW w:type="dxa" w:w="1728"/>
            <w:vAlign w:val="center"/>
          </w:tcPr>
          <w:p>
            <w:r>
              <w:t>Инженер тестирования компьютерной техники</w:t>
            </w:r>
          </w:p>
        </w:tc>
        <w:tc>
          <w:tcPr>
            <w:tcW w:type="dxa" w:w="1728"/>
            <w:vAlign w:val="center"/>
          </w:tcPr>
          <w:p>
            <w:r>
              <w:t>833,33</w:t>
            </w:r>
          </w:p>
        </w:tc>
        <w:tc>
          <w:tcPr>
            <w:tcW w:type="dxa" w:w="1728"/>
            <w:vAlign w:val="center"/>
          </w:tcPr>
          <w:p>
            <w:r>
              <w:t>0,04</w:t>
            </w:r>
          </w:p>
        </w:tc>
        <w:tc>
          <w:tcPr>
            <w:tcW w:type="dxa" w:w="1728"/>
            <w:vAlign w:val="center"/>
          </w:tcPr>
          <w:p>
            <w:r>
              <w:t>33,33</w:t>
            </w:r>
          </w:p>
        </w:tc>
      </w:tr>
      <w:tr>
        <w:tc>
          <w:tcPr>
            <w:tcW w:type="dxa" w:w="1728"/>
            <w:vAlign w:val="center"/>
          </w:tcPr>
          <w:p>
            <w:r>
              <w:t>Зафиксировать замечания или положительный результат</w:t>
            </w:r>
          </w:p>
        </w:tc>
        <w:tc>
          <w:tcPr>
            <w:tcW w:type="dxa" w:w="1728"/>
            <w:vAlign w:val="center"/>
          </w:tcPr>
          <w:p>
            <w:r>
              <w:t>Инженер тестирования компьютерной техники</w:t>
            </w:r>
          </w:p>
        </w:tc>
        <w:tc>
          <w:tcPr>
            <w:tcW w:type="dxa" w:w="1728"/>
            <w:vAlign w:val="center"/>
          </w:tcPr>
          <w:p>
            <w:r>
              <w:t>833,33</w:t>
            </w:r>
          </w:p>
        </w:tc>
        <w:tc>
          <w:tcPr>
            <w:tcW w:type="dxa" w:w="1728"/>
            <w:vAlign w:val="center"/>
          </w:tcPr>
          <w:p>
            <w:r>
              <w:t>0,02</w:t>
            </w:r>
          </w:p>
        </w:tc>
        <w:tc>
          <w:tcPr>
            <w:tcW w:type="dxa" w:w="1728"/>
            <w:vAlign w:val="center"/>
          </w:tcPr>
          <w:p>
            <w:r>
              <w:t>16,67</w:t>
            </w:r>
          </w:p>
        </w:tc>
      </w:tr>
      <w:tr>
        <w:tc>
          <w:tcPr>
            <w:tcW w:type="dxa" w:w="1728"/>
            <w:vAlign w:val="center"/>
          </w:tcPr>
          <w:p>
            <w:r>
              <w:t>Проверить полноту карточки заказа по чек-листу CMS</w:t>
            </w:r>
          </w:p>
        </w:tc>
        <w:tc>
          <w:tcPr>
            <w:tcW w:type="dxa" w:w="1728"/>
            <w:vAlign w:val="center"/>
          </w:tcPr>
          <w:p>
            <w:r>
              <w:t>Руководитель отдела производства</w:t>
            </w:r>
          </w:p>
        </w:tc>
        <w:tc>
          <w:tcPr>
            <w:tcW w:type="dxa" w:w="1728"/>
            <w:vAlign w:val="center"/>
          </w:tcPr>
          <w:p>
            <w:r>
              <w:t>1 071,43</w:t>
            </w:r>
          </w:p>
        </w:tc>
        <w:tc>
          <w:tcPr>
            <w:tcW w:type="dxa" w:w="1728"/>
            <w:vAlign w:val="center"/>
          </w:tcPr>
          <w:p>
            <w:r>
              <w:t>0,02</w:t>
            </w:r>
          </w:p>
        </w:tc>
        <w:tc>
          <w:tcPr>
            <w:tcW w:type="dxa" w:w="1728"/>
            <w:vAlign w:val="center"/>
          </w:tcPr>
          <w:p>
            <w:r>
              <w:t>21,43</w:t>
            </w:r>
          </w:p>
        </w:tc>
      </w:tr>
      <w:tr>
        <w:tc>
          <w:tcPr>
            <w:tcW w:type="dxa" w:w="1728"/>
            <w:vAlign w:val="center"/>
          </w:tcPr>
          <w:p>
            <w:r>
              <w:t>Зафиксировать сведения о видеофиксации/комплектности/готовности</w:t>
            </w:r>
          </w:p>
        </w:tc>
        <w:tc>
          <w:tcPr>
            <w:tcW w:type="dxa" w:w="1728"/>
            <w:vAlign w:val="center"/>
          </w:tcPr>
          <w:p>
            <w:r>
              <w:t>Упаковщик</w:t>
            </w:r>
          </w:p>
        </w:tc>
        <w:tc>
          <w:tcPr>
            <w:tcW w:type="dxa" w:w="1728"/>
            <w:vAlign w:val="center"/>
          </w:tcPr>
          <w:p>
            <w:r>
              <w:t>488,10</w:t>
            </w:r>
          </w:p>
        </w:tc>
        <w:tc>
          <w:tcPr>
            <w:tcW w:type="dxa" w:w="1728"/>
            <w:vAlign w:val="center"/>
          </w:tcPr>
          <w:p>
            <w:r>
              <w:t>0,03</w:t>
            </w:r>
          </w:p>
        </w:tc>
        <w:tc>
          <w:tcPr>
            <w:tcW w:type="dxa" w:w="1728"/>
            <w:vAlign w:val="center"/>
          </w:tcPr>
          <w:p>
            <w:r>
              <w:t>14,64</w:t>
            </w:r>
          </w:p>
        </w:tc>
      </w:tr>
      <w:tr>
        <w:tc>
          <w:tcPr>
            <w:tcW w:type="dxa" w:w="1728"/>
            <w:vAlign w:val="center"/>
          </w:tcPr>
          <w:p>
            <w:r>
              <w:t>Передать сведения в следующий процесс</w:t>
            </w:r>
          </w:p>
        </w:tc>
        <w:tc>
          <w:tcPr>
            <w:tcW w:type="dxa" w:w="1728"/>
            <w:vAlign w:val="center"/>
          </w:tcPr>
          <w:p>
            <w:r>
              <w:t>Упаковщик</w:t>
            </w:r>
          </w:p>
        </w:tc>
        <w:tc>
          <w:tcPr>
            <w:tcW w:type="dxa" w:w="1728"/>
            <w:vAlign w:val="center"/>
          </w:tcPr>
          <w:p>
            <w:r>
              <w:t>488,10</w:t>
            </w:r>
          </w:p>
        </w:tc>
        <w:tc>
          <w:tcPr>
            <w:tcW w:type="dxa" w:w="1728"/>
            <w:vAlign w:val="center"/>
          </w:tcPr>
          <w:p>
            <w:r>
              <w:t>0,01</w:t>
            </w:r>
          </w:p>
        </w:tc>
        <w:tc>
          <w:tcPr>
            <w:tcW w:type="dxa" w:w="1728"/>
            <w:vAlign w:val="center"/>
          </w:tcPr>
          <w:p>
            <w:r>
              <w:t>4,88</w:t>
            </w:r>
          </w:p>
        </w:tc>
      </w:tr>
      <w:tr>
        <w:tc>
          <w:tcPr>
            <w:tcW w:type="dxa" w:w="1728"/>
            <w:vAlign w:val="center"/>
          </w:tcPr>
          <w:p>
            <w:r>
              <w:t>Итого</w:t>
            </w:r>
          </w:p>
        </w:tc>
        <w:tc>
          <w:tcPr>
            <w:tcW w:type="dxa" w:w="1728"/>
            <w:vAlign w:val="center"/>
          </w:tcPr>
          <w:p>
            <w:r>
              <w:t>-</w:t>
            </w:r>
          </w:p>
        </w:tc>
        <w:tc>
          <w:tcPr>
            <w:tcW w:type="dxa" w:w="1728"/>
            <w:vAlign w:val="center"/>
          </w:tcPr>
          <w:p>
            <w:r>
              <w:t>-</w:t>
            </w:r>
          </w:p>
        </w:tc>
        <w:tc>
          <w:tcPr>
            <w:tcW w:type="dxa" w:w="1728"/>
            <w:vAlign w:val="center"/>
          </w:tcPr>
          <w:p>
            <w:r>
              <w:t>0,33</w:t>
            </w:r>
          </w:p>
        </w:tc>
        <w:tc>
          <w:tcPr>
            <w:tcW w:type="dxa" w:w="1728"/>
            <w:vAlign w:val="center"/>
          </w:tcPr>
          <w:p>
            <w:r>
              <w:t>243,32</w:t>
            </w:r>
          </w:p>
        </w:tc>
      </w:tr>
    </w:tbl>
    <w:p>
      <w:pPr>
        <w:spacing w:after="120"/>
        <w:ind w:firstLine="426"/>
      </w:pPr>
      <w:r>
        <w:rPr>
          <w:b w:val="0"/>
          <w:i w:val="0"/>
        </w:rPr>
        <w:t>Страховые взносы рассчитаны по ставке 30,6 % от оплаты труда: 243,32 × 30,6 % = 74,46 руб.</w:t>
      </w:r>
    </w:p>
    <w:p>
      <w:pPr>
        <w:spacing w:after="120"/>
        <w:ind w:firstLine="426"/>
      </w:pPr>
      <w:r>
        <w:rPr>
          <w:b w:val="0"/>
          <w:i w:val="0"/>
        </w:rPr>
        <w:t>Стоимость использования основных средств пересчитана пропорционально трудоемкости: 15,96 × 0,33 / 0,68 = 7,75 руб.</w:t>
      </w:r>
    </w:p>
    <w:p>
      <w:pPr>
        <w:spacing w:after="120"/>
        <w:ind w:firstLine="426"/>
      </w:pPr>
      <w:r>
        <w:rPr>
          <w:b w:val="0"/>
          <w:i w:val="0"/>
        </w:rPr>
        <w:t>В таблице 4.2 приведена стоимость использования программного обеспечения to-be.</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tcPr>
          <w:p>
            <w:r>
              <w:rPr>
                <w:b/>
              </w:rPr>
              <w:t>ПО</w:t>
            </w:r>
          </w:p>
        </w:tc>
        <w:tc>
          <w:tcPr>
            <w:tcW w:type="dxa" w:w="2880"/>
            <w:vAlign w:val="center"/>
          </w:tcPr>
          <w:p>
            <w:r>
              <w:rPr>
                <w:b/>
              </w:rPr>
              <w:t>Назначение</w:t>
            </w:r>
          </w:p>
        </w:tc>
        <w:tc>
          <w:tcPr>
            <w:tcW w:type="dxa" w:w="2880"/>
            <w:vAlign w:val="center"/>
          </w:tcPr>
          <w:p>
            <w:r>
              <w:rPr>
                <w:b/>
              </w:rPr>
              <w:t>Стоимость, руб.</w:t>
            </w:r>
          </w:p>
        </w:tc>
      </w:tr>
      <w:tr>
        <w:tc>
          <w:tcPr>
            <w:tcW w:type="dxa" w:w="2880"/>
            <w:vAlign w:val="center"/>
          </w:tcPr>
          <w:p>
            <w:r>
              <w:t>Внутренняя CMS ООО «Юкомс»</w:t>
            </w:r>
          </w:p>
        </w:tc>
        <w:tc>
          <w:tcPr>
            <w:tcW w:type="dxa" w:w="2880"/>
            <w:vAlign w:val="center"/>
          </w:tcPr>
          <w:p>
            <w:r>
              <w:t>Основное ПО для управления карточкой заказа, статусами, SN и контрольными проверками</w:t>
            </w:r>
          </w:p>
        </w:tc>
        <w:tc>
          <w:tcPr>
            <w:tcW w:type="dxa" w:w="2880"/>
            <w:vAlign w:val="center"/>
          </w:tcPr>
          <w:p>
            <w:r>
              <w:t>407,47</w:t>
            </w:r>
          </w:p>
        </w:tc>
      </w:tr>
      <w:tr>
        <w:tc>
          <w:tcPr>
            <w:tcW w:type="dxa" w:w="2880"/>
            <w:vAlign w:val="center"/>
          </w:tcPr>
          <w:p>
            <w:r>
              <w:t>AIDA64</w:t>
            </w:r>
          </w:p>
        </w:tc>
        <w:tc>
          <w:tcPr>
            <w:tcW w:type="dxa" w:w="2880"/>
            <w:vAlign w:val="center"/>
          </w:tcPr>
          <w:p>
            <w:r>
              <w:t>Источник диагностической информации</w:t>
            </w:r>
          </w:p>
        </w:tc>
        <w:tc>
          <w:tcPr>
            <w:tcW w:type="dxa" w:w="2880"/>
            <w:vAlign w:val="center"/>
          </w:tcPr>
          <w:p>
            <w:r>
              <w:t>0,00</w:t>
            </w:r>
          </w:p>
        </w:tc>
      </w:tr>
      <w:tr>
        <w:tc>
          <w:tcPr>
            <w:tcW w:type="dxa" w:w="2880"/>
            <w:vAlign w:val="center"/>
          </w:tcPr>
          <w:p>
            <w:r>
              <w:t>FurMark</w:t>
            </w:r>
          </w:p>
        </w:tc>
        <w:tc>
          <w:tcPr>
            <w:tcW w:type="dxa" w:w="2880"/>
            <w:vAlign w:val="center"/>
          </w:tcPr>
          <w:p>
            <w:r>
              <w:t>Источник диагностической информации</w:t>
            </w:r>
          </w:p>
        </w:tc>
        <w:tc>
          <w:tcPr>
            <w:tcW w:type="dxa" w:w="2880"/>
            <w:vAlign w:val="center"/>
          </w:tcPr>
          <w:p>
            <w:r>
              <w:t>0,00</w:t>
            </w:r>
          </w:p>
        </w:tc>
      </w:tr>
      <w:tr>
        <w:tc>
          <w:tcPr>
            <w:tcW w:type="dxa" w:w="2880"/>
            <w:vAlign w:val="center"/>
          </w:tcPr>
          <w:p>
            <w:r>
              <w:t>CrystalDiskInfo/CrystalDiskMark</w:t>
            </w:r>
          </w:p>
        </w:tc>
        <w:tc>
          <w:tcPr>
            <w:tcW w:type="dxa" w:w="2880"/>
            <w:vAlign w:val="center"/>
          </w:tcPr>
          <w:p>
            <w:r>
              <w:t>Источник диагностической информации</w:t>
            </w:r>
          </w:p>
        </w:tc>
        <w:tc>
          <w:tcPr>
            <w:tcW w:type="dxa" w:w="2880"/>
            <w:vAlign w:val="center"/>
          </w:tcPr>
          <w:p>
            <w:r>
              <w:t>0,00</w:t>
            </w:r>
          </w:p>
        </w:tc>
      </w:tr>
      <w:tr>
        <w:tc>
          <w:tcPr>
            <w:tcW w:type="dxa" w:w="2880"/>
            <w:vAlign w:val="center"/>
          </w:tcPr>
          <w:p>
            <w:r>
              <w:t>OCCT</w:t>
            </w:r>
          </w:p>
        </w:tc>
        <w:tc>
          <w:tcPr>
            <w:tcW w:type="dxa" w:w="2880"/>
            <w:vAlign w:val="center"/>
          </w:tcPr>
          <w:p>
            <w:r>
              <w:t>Источник диагностической информации</w:t>
            </w:r>
          </w:p>
        </w:tc>
        <w:tc>
          <w:tcPr>
            <w:tcW w:type="dxa" w:w="2880"/>
            <w:vAlign w:val="center"/>
          </w:tcPr>
          <w:p>
            <w:r>
              <w:t>0,00</w:t>
            </w:r>
          </w:p>
        </w:tc>
      </w:tr>
      <w:tr>
        <w:tc>
          <w:tcPr>
            <w:tcW w:type="dxa" w:w="2880"/>
            <w:vAlign w:val="center"/>
          </w:tcPr>
          <w:p>
            <w:r>
              <w:t>Итого</w:t>
            </w:r>
          </w:p>
        </w:tc>
        <w:tc>
          <w:tcPr>
            <w:tcW w:type="dxa" w:w="2880"/>
            <w:vAlign w:val="center"/>
          </w:tcPr>
          <w:p>
            <w:r>
              <w:t>-</w:t>
            </w:r>
          </w:p>
        </w:tc>
        <w:tc>
          <w:tcPr>
            <w:tcW w:type="dxa" w:w="2880"/>
            <w:vAlign w:val="center"/>
          </w:tcPr>
          <w:p>
            <w:r>
              <w:t>407,47</w:t>
            </w:r>
          </w:p>
        </w:tc>
      </w:tr>
    </w:tbl>
    <w:p>
      <w:pPr>
        <w:spacing w:after="120"/>
        <w:ind w:firstLine="426"/>
      </w:pPr>
      <w:r>
        <w:rPr>
          <w:b w:val="0"/>
          <w:i w:val="0"/>
        </w:rPr>
        <w:t>Накладные расходы рассчитаны как 5 % от оплаты труда: 243,32 × 5 % = 12,17 руб.</w:t>
      </w:r>
    </w:p>
    <w:p>
      <w:pPr>
        <w:spacing w:after="120"/>
        <w:ind w:firstLine="426"/>
      </w:pPr>
      <w:r>
        <w:rPr>
          <w:b w:val="0"/>
          <w:i w:val="0"/>
        </w:rPr>
        <w:t>В таблице 4.3 приведена сравнительная оценка стоимости выполнения процесса as-is и to-be.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tcPr>
          <w:p>
            <w:r>
              <w:rPr>
                <w:b/>
              </w:rPr>
              <w:t>Показатель</w:t>
            </w:r>
          </w:p>
        </w:tc>
        <w:tc>
          <w:tcPr>
            <w:tcW w:type="dxa" w:w="2160"/>
            <w:vAlign w:val="center"/>
          </w:tcPr>
          <w:p>
            <w:r>
              <w:rPr>
                <w:b/>
              </w:rPr>
              <w:t>As-is, руб.</w:t>
            </w:r>
          </w:p>
        </w:tc>
        <w:tc>
          <w:tcPr>
            <w:tcW w:type="dxa" w:w="2160"/>
            <w:vAlign w:val="center"/>
          </w:tcPr>
          <w:p>
            <w:r>
              <w:rPr>
                <w:b/>
              </w:rPr>
              <w:t>To-be, руб.</w:t>
            </w:r>
          </w:p>
        </w:tc>
        <w:tc>
          <w:tcPr>
            <w:tcW w:type="dxa" w:w="2160"/>
            <w:vAlign w:val="center"/>
          </w:tcPr>
          <w:p>
            <w:r>
              <w:rPr>
                <w:b/>
              </w:rPr>
              <w:t>Абсолютное отклонение, руб.</w:t>
            </w:r>
          </w:p>
        </w:tc>
      </w:tr>
      <w:tr>
        <w:tc>
          <w:tcPr>
            <w:tcW w:type="dxa" w:w="2160"/>
            <w:vAlign w:val="center"/>
          </w:tcPr>
          <w:p>
            <w:r>
              <w:t>Стоимость оплаты труда</w:t>
            </w:r>
          </w:p>
        </w:tc>
        <w:tc>
          <w:tcPr>
            <w:tcW w:type="dxa" w:w="2160"/>
            <w:vAlign w:val="center"/>
          </w:tcPr>
          <w:p>
            <w:r>
              <w:t>547,74</w:t>
            </w:r>
          </w:p>
        </w:tc>
        <w:tc>
          <w:tcPr>
            <w:tcW w:type="dxa" w:w="2160"/>
            <w:vAlign w:val="center"/>
          </w:tcPr>
          <w:p>
            <w:r>
              <w:t>243,32</w:t>
            </w:r>
          </w:p>
        </w:tc>
        <w:tc>
          <w:tcPr>
            <w:tcW w:type="dxa" w:w="2160"/>
            <w:vAlign w:val="center"/>
          </w:tcPr>
          <w:p>
            <w:r>
              <w:t>-304,42</w:t>
            </w:r>
          </w:p>
        </w:tc>
      </w:tr>
      <w:tr>
        <w:tc>
          <w:tcPr>
            <w:tcW w:type="dxa" w:w="2160"/>
            <w:vAlign w:val="center"/>
          </w:tcPr>
          <w:p>
            <w:r>
              <w:t>Страховые взносы</w:t>
            </w:r>
          </w:p>
        </w:tc>
        <w:tc>
          <w:tcPr>
            <w:tcW w:type="dxa" w:w="2160"/>
            <w:vAlign w:val="center"/>
          </w:tcPr>
          <w:p>
            <w:r>
              <w:t>167,61</w:t>
            </w:r>
          </w:p>
        </w:tc>
        <w:tc>
          <w:tcPr>
            <w:tcW w:type="dxa" w:w="2160"/>
            <w:vAlign w:val="center"/>
          </w:tcPr>
          <w:p>
            <w:r>
              <w:t>74,46</w:t>
            </w:r>
          </w:p>
        </w:tc>
        <w:tc>
          <w:tcPr>
            <w:tcW w:type="dxa" w:w="2160"/>
            <w:vAlign w:val="center"/>
          </w:tcPr>
          <w:p>
            <w:r>
              <w:t>-93,15</w:t>
            </w:r>
          </w:p>
        </w:tc>
      </w:tr>
      <w:tr>
        <w:tc>
          <w:tcPr>
            <w:tcW w:type="dxa" w:w="2160"/>
            <w:vAlign w:val="center"/>
          </w:tcPr>
          <w:p>
            <w:r>
              <w:t>Стоимость использования основных средств</w:t>
            </w:r>
          </w:p>
        </w:tc>
        <w:tc>
          <w:tcPr>
            <w:tcW w:type="dxa" w:w="2160"/>
            <w:vAlign w:val="center"/>
          </w:tcPr>
          <w:p>
            <w:r>
              <w:t>15,96</w:t>
            </w:r>
          </w:p>
        </w:tc>
        <w:tc>
          <w:tcPr>
            <w:tcW w:type="dxa" w:w="2160"/>
            <w:vAlign w:val="center"/>
          </w:tcPr>
          <w:p>
            <w:r>
              <w:t>7,75</w:t>
            </w:r>
          </w:p>
        </w:tc>
        <w:tc>
          <w:tcPr>
            <w:tcW w:type="dxa" w:w="2160"/>
            <w:vAlign w:val="center"/>
          </w:tcPr>
          <w:p>
            <w:r>
              <w:t>-8,21</w:t>
            </w:r>
          </w:p>
        </w:tc>
      </w:tr>
      <w:tr>
        <w:tc>
          <w:tcPr>
            <w:tcW w:type="dxa" w:w="2160"/>
            <w:vAlign w:val="center"/>
          </w:tcPr>
          <w:p>
            <w:r>
              <w:t>Стоимость использования ПО</w:t>
            </w:r>
          </w:p>
        </w:tc>
        <w:tc>
          <w:tcPr>
            <w:tcW w:type="dxa" w:w="2160"/>
            <w:vAlign w:val="center"/>
          </w:tcPr>
          <w:p>
            <w:r>
              <w:t>407,47</w:t>
            </w:r>
          </w:p>
        </w:tc>
        <w:tc>
          <w:tcPr>
            <w:tcW w:type="dxa" w:w="2160"/>
            <w:vAlign w:val="center"/>
          </w:tcPr>
          <w:p>
            <w:r>
              <w:t>407,47</w:t>
            </w:r>
          </w:p>
        </w:tc>
        <w:tc>
          <w:tcPr>
            <w:tcW w:type="dxa" w:w="2160"/>
            <w:vAlign w:val="center"/>
          </w:tcPr>
          <w:p>
            <w:r>
              <w:t>0,00</w:t>
            </w:r>
          </w:p>
        </w:tc>
      </w:tr>
      <w:tr>
        <w:tc>
          <w:tcPr>
            <w:tcW w:type="dxa" w:w="2160"/>
            <w:vAlign w:val="center"/>
          </w:tcPr>
          <w:p>
            <w:r>
              <w:t>Накладные расходы</w:t>
            </w:r>
          </w:p>
        </w:tc>
        <w:tc>
          <w:tcPr>
            <w:tcW w:type="dxa" w:w="2160"/>
            <w:vAlign w:val="center"/>
          </w:tcPr>
          <w:p>
            <w:r>
              <w:t>27,39</w:t>
            </w:r>
          </w:p>
        </w:tc>
        <w:tc>
          <w:tcPr>
            <w:tcW w:type="dxa" w:w="2160"/>
            <w:vAlign w:val="center"/>
          </w:tcPr>
          <w:p>
            <w:r>
              <w:t>12,17</w:t>
            </w:r>
          </w:p>
        </w:tc>
        <w:tc>
          <w:tcPr>
            <w:tcW w:type="dxa" w:w="2160"/>
            <w:vAlign w:val="center"/>
          </w:tcPr>
          <w:p>
            <w:r>
              <w:t>-15,22</w:t>
            </w:r>
          </w:p>
        </w:tc>
      </w:tr>
      <w:tr>
        <w:tc>
          <w:tcPr>
            <w:tcW w:type="dxa" w:w="2160"/>
            <w:vAlign w:val="center"/>
          </w:tcPr>
          <w:p>
            <w:r>
              <w:t>Итоговая стоимость</w:t>
            </w:r>
          </w:p>
        </w:tc>
        <w:tc>
          <w:tcPr>
            <w:tcW w:type="dxa" w:w="2160"/>
            <w:vAlign w:val="center"/>
          </w:tcPr>
          <w:p>
            <w:r>
              <w:t>1 166,17</w:t>
            </w:r>
          </w:p>
        </w:tc>
        <w:tc>
          <w:tcPr>
            <w:tcW w:type="dxa" w:w="2160"/>
            <w:vAlign w:val="center"/>
          </w:tcPr>
          <w:p>
            <w:r>
              <w:t>745,17</w:t>
            </w:r>
          </w:p>
        </w:tc>
        <w:tc>
          <w:tcPr>
            <w:tcW w:type="dxa" w:w="2160"/>
            <w:vAlign w:val="center"/>
          </w:tcPr>
          <w:p>
            <w:r>
              <w:t>-421,00</w:t>
            </w:r>
          </w:p>
        </w:tc>
      </w:tr>
    </w:tbl>
    <w:p>
      <w:pPr>
        <w:spacing w:after="120"/>
        <w:ind w:firstLine="426"/>
      </w:pPr>
      <w:r>
        <w:rPr>
          <w:b w:val="0"/>
          <w:i w:val="0"/>
        </w:rPr>
        <w:t>Итоговая стоимость информационного сопровождения одного заказа в варианте to-be составляет 745,17 руб. Экономия относительно варианта as-is составляет 421,00 руб. на один заказ. Снижение достигается за счет сокращения ручных проверок, автоматического контроля полноты данных и стандартизации передачи статусов в CMS.</w:t>
      </w:r>
    </w:p>
    <w:p>
      <w:pPr>
        <w:spacing w:after="120"/>
        <w:ind w:firstLine="0"/>
      </w:pPr>
      <w:r>
        <w:rPr>
          <w:b/>
          <w:i w:val="0"/>
        </w:rPr>
        <w:t>4.3 Реализация бизнес-процесса в ПО BPMSoft</w:t>
      </w:r>
    </w:p>
    <w:p>
      <w:pPr>
        <w:spacing w:after="120"/>
        <w:ind w:firstLine="426"/>
      </w:pPr>
      <w:r>
        <w:rPr>
          <w:b w:val="0"/>
          <w:i w:val="0"/>
        </w:rPr>
        <w:t>Подраздел 4.3 будет заполнен после отдельной настройки BPMSoft. На данной итерации фактическая реализация не описывается, чтобы не подменять реальные скриншоты и настроенные объекты текстовыми допущениями.</w:t>
      </w:r>
    </w:p>
    <w:p>
      <w:pPr>
        <w:spacing w:after="120"/>
        <w:ind w:firstLine="0"/>
        <w:jc w:val="center"/>
      </w:pPr>
      <w:r>
        <w:rPr>
          <w:b w:val="0"/>
          <w:i/>
        </w:rPr>
        <w:t>Место для описания рабочего места BPMSoft: ООО «Юкомс».</w:t>
      </w:r>
    </w:p>
    <w:p>
      <w:pPr>
        <w:spacing w:after="120"/>
        <w:ind w:firstLine="0"/>
        <w:jc w:val="center"/>
      </w:pPr>
      <w:r>
        <w:rPr>
          <w:b w:val="0"/>
          <w:i/>
        </w:rPr>
        <w:t>Место для описания раздела BPMSoft, страницы раздела и полей карточки заказа.</w:t>
      </w:r>
    </w:p>
    <w:p>
      <w:pPr>
        <w:spacing w:after="120"/>
        <w:ind w:firstLine="0"/>
        <w:jc w:val="center"/>
      </w:pPr>
      <w:r>
        <w:rPr>
          <w:b w:val="0"/>
          <w:i/>
        </w:rPr>
        <w:t>Место для описания бизнес-правила BPMSoft, например обязательности результата диагностики и блокировки передачи дальше при замечаниях.</w:t>
      </w:r>
    </w:p>
    <w:p>
      <w:pPr>
        <w:spacing w:after="120"/>
        <w:ind w:firstLine="0"/>
        <w:jc w:val="center"/>
      </w:pPr>
      <w:r>
        <w:rPr>
          <w:b w:val="0"/>
          <w:i/>
        </w:rPr>
        <w:t>Место для рисунка 4.6: Схема процесса в дизайнере BPMSoft.</w:t>
      </w:r>
    </w:p>
    <w:p>
      <w:pPr>
        <w:spacing w:after="120"/>
        <w:ind w:firstLine="0"/>
        <w:jc w:val="center"/>
      </w:pPr>
      <w:r>
        <w:rPr>
          <w:b w:val="0"/>
          <w:i/>
        </w:rPr>
        <w:t>Место для скриншотов BPMSoft: рабочее место, раздел, страница, поля, бизнес-правило, созданные или измененные записи.</w:t>
      </w:r>
    </w:p>
    <w:p>
      <w:pPr>
        <w:spacing w:after="120"/>
        <w:ind w:firstLine="426"/>
      </w:pPr>
      <w:r>
        <w:rPr>
          <w:b w:val="0"/>
          <w:i w:val="0"/>
        </w:rPr>
        <w:t>По результатам раздела 4 предложен вариант реинжиниринга, при котором внутренняя CMS становится основным механизмом контроля информационного сопровождения заказа, а стоимость выполнения информационного процесса снижается с 1 166,17 руб. до 745,17 руб. на один заказ.</w:t>
      </w:r>
    </w:p>
    <w:p>
      <w:pPr>
        <w:spacing w:after="120"/>
        <w:ind w:firstLine="0"/>
      </w:pPr>
      <w:r>
        <w:rPr>
          <w:b/>
          <w:i w:val="0"/>
        </w:rPr>
        <w:t>ЗАКЛЮЧЕНИЕ</w:t>
      </w:r>
    </w:p>
    <w:p>
      <w:pPr>
        <w:spacing w:after="120"/>
        <w:ind w:firstLine="426"/>
      </w:pPr>
      <w:r>
        <w:rPr>
          <w:b w:val="0"/>
          <w:i w:val="0"/>
        </w:rPr>
        <w:t>В курсовой работе рассмотрена деятельность ООО «Юкомс» и исследован бизнес-процесс «Сопровождение заказов на поставку компьютерных систем». Граница анализа определена как информационное сопровождение одного конкретного заказа: получение, проверка, преобразование, фиксация и передача данных о заказе, комплектующих, статусах выполнения и результатах контроля.</w:t>
      </w:r>
    </w:p>
    <w:p>
      <w:pPr>
        <w:spacing w:after="120"/>
        <w:ind w:firstLine="426"/>
      </w:pPr>
      <w:r>
        <w:rPr>
          <w:b w:val="0"/>
          <w:i w:val="0"/>
        </w:rPr>
        <w:t>Выполнено описание предметной области, определены владелец и исполнители процесса, сформированы документы и информационные ресурсы, используемые при моделировании. Подготовлены описания моделей as-is в нотациях IDEF0, BPMN 2.0 и EPC/eEPC, а также места для последующей ручной подготовки диаграмм.</w:t>
      </w:r>
    </w:p>
    <w:p>
      <w:pPr>
        <w:spacing w:after="120"/>
        <w:ind w:firstLine="426"/>
      </w:pPr>
      <w:r>
        <w:rPr>
          <w:b w:val="0"/>
          <w:i w:val="0"/>
        </w:rPr>
        <w:t>Проанализированы проблемы существующего варианта процесса: ручная проверка цены, состава и статуса, риск ошибок при фиксации серийных номеров, отсутствие автоматического контроля полноты карточки заказа, задержки передачи статусов и слабая фиксация причин возврата на уточнение.</w:t>
      </w:r>
    </w:p>
    <w:p>
      <w:pPr>
        <w:spacing w:after="120"/>
        <w:ind w:firstLine="426"/>
      </w:pPr>
      <w:r>
        <w:rPr>
          <w:b w:val="0"/>
          <w:i w:val="0"/>
        </w:rPr>
        <w:t>Проведен функционально-стоимостный анализ базового сценария без замечаний. Расчетная стоимость информационного сопровождения одного заказа в варианте as-is составила 1 166,17 руб. Предложен вариант to-be, основанный на автоматизации контрольных действий во внутренней CMS ООО «Юкомс»: проверке контрольных признаков заказа, обязательной фиксации SN, шаблонах диагностических результатов и блокировке передачи заказа дальше при неполных данных.</w:t>
      </w:r>
    </w:p>
    <w:p>
      <w:pPr>
        <w:spacing w:after="120"/>
        <w:ind w:firstLine="426"/>
      </w:pPr>
      <w:r>
        <w:rPr>
          <w:b w:val="0"/>
          <w:i w:val="0"/>
        </w:rPr>
        <w:t>После реинжиниринга расчетная стоимость информационного сопровождения одного заказа составила 745,17 руб., а экономия относительно варианта as-is - 421,00 руб. на один заказ. Таким образом, предложенный вариант реинжиниринга направлен на снижение трудоемкости информационных операций и повышение управляемости процесса. Реализация подраздела BPMSoft оставлена для отдельной итерации после фактической настройки рабочего места, раздела, страниц, бизнес-правил и схемы процесса.</w:t>
      </w:r>
    </w:p>
    <w:p>
      <w:pPr>
        <w:spacing w:after="120"/>
        <w:ind w:firstLine="0"/>
      </w:pPr>
      <w:r>
        <w:rPr>
          <w:b/>
          <w:i w:val="0"/>
        </w:rPr>
        <w:t>СПИСОК ИСПОЛЬЗОВАННЫХ ИСТОЧНИКОВ И ЛИТЕРАТУРЫ</w:t>
      </w:r>
    </w:p>
    <w:p>
      <w:pPr>
        <w:spacing w:after="120"/>
        <w:ind w:firstLine="426"/>
      </w:pPr>
      <w:r>
        <w:rPr>
          <w:b w:val="0"/>
          <w:i w:val="0"/>
        </w:rPr>
        <w:t>1. Долганова О. И. Моделирование бизнес-процессов : учебник и практикум для вузов. - Москва : Юрайт, 2024.</w:t>
      </w:r>
    </w:p>
    <w:p>
      <w:pPr>
        <w:spacing w:after="120"/>
        <w:ind w:firstLine="426"/>
      </w:pPr>
      <w:r>
        <w:rPr>
          <w:b w:val="0"/>
          <w:i w:val="0"/>
        </w:rPr>
        <w:t>2. Грекул В. И. Проектирование информационных систем : учебник и практикум. - Москва : Юрайт, 2024.</w:t>
      </w:r>
    </w:p>
    <w:p>
      <w:pPr>
        <w:spacing w:after="120"/>
        <w:ind w:firstLine="426"/>
      </w:pPr>
      <w:r>
        <w:rPr>
          <w:b w:val="0"/>
          <w:i w:val="0"/>
        </w:rPr>
        <w:t>3. APQC Process Classification Framework. URL: https://www.apqc.org/.</w:t>
      </w:r>
    </w:p>
    <w:p>
      <w:pPr>
        <w:spacing w:after="120"/>
        <w:ind w:firstLine="426"/>
      </w:pPr>
      <w:r>
        <w:rPr>
          <w:b w:val="0"/>
          <w:i w:val="0"/>
        </w:rPr>
        <w:t>4. Официальный сайт ООО «Юкомс». URL: https://ucoms.ru/.</w:t>
      </w:r>
    </w:p>
    <w:p>
      <w:pPr>
        <w:spacing w:after="120"/>
        <w:ind w:firstLine="426"/>
      </w:pPr>
      <w:r>
        <w:rPr>
          <w:b w:val="0"/>
          <w:i w:val="0"/>
        </w:rPr>
        <w:t>5. T-Банк. Проверка контрагента ООО «Юкомс». URL: https://www.tbank.ru/business/contractor/legal/1217700358820/.</w:t>
      </w:r>
    </w:p>
    <w:p>
      <w:pPr>
        <w:spacing w:after="120"/>
        <w:ind w:firstLine="426"/>
      </w:pPr>
      <w:r>
        <w:rPr>
          <w:b w:val="0"/>
          <w:i w:val="0"/>
        </w:rPr>
        <w:t>6. Rusprofile. ООО «Юкомс». URL: https://www.rusprofile.ru/id/1217700358820.</w:t>
      </w:r>
    </w:p>
    <w:p>
      <w:pPr>
        <w:spacing w:after="120"/>
        <w:ind w:firstLine="426"/>
      </w:pPr>
      <w:r>
        <w:rPr>
          <w:b w:val="0"/>
          <w:i w:val="0"/>
        </w:rPr>
        <w:t>7. ГОСТ Р ИСО 9000-2015. Системы менеджмента качества. Основные положения и словарь.</w:t>
      </w:r>
    </w:p>
    <w:p>
      <w:pPr>
        <w:spacing w:after="120"/>
        <w:ind w:firstLine="426"/>
      </w:pPr>
      <w:r>
        <w:rPr>
          <w:b w:val="0"/>
          <w:i w:val="0"/>
        </w:rPr>
        <w:t>8. ГОСТ Р 7.0.8-2013. Делопроизводство и архивное дело. Термины и определения.</w:t>
      </w:r>
    </w:p>
    <w:p>
      <w:pPr>
        <w:spacing w:after="120"/>
        <w:ind w:firstLine="426"/>
      </w:pPr>
      <w:r>
        <w:rPr>
          <w:b w:val="0"/>
          <w:i w:val="0"/>
        </w:rPr>
        <w:t>9. Методические рекомендации по выполнению курсовой работы по дисциплине «Реинжиниринг бизнес-процессов».</w:t>
      </w:r>
    </w:p>
    <w:p>
      <w:pPr>
        <w:spacing w:after="120"/>
        <w:ind w:firstLine="0"/>
      </w:pPr>
      <w:r>
        <w:rPr>
          <w:b/>
          <w:i w:val="0"/>
        </w:rPr>
        <w:t>ПРИЛОЖЕНИЕ А</w:t>
      </w:r>
    </w:p>
    <w:p>
      <w:pPr>
        <w:spacing w:after="120"/>
        <w:ind w:firstLine="426"/>
      </w:pPr>
      <w:r>
        <w:rPr>
          <w:b w:val="0"/>
          <w:i w:val="0"/>
        </w:rPr>
        <w:t>Формы документов информационного сопровождения заказа</w:t>
      </w:r>
    </w:p>
    <w:p>
      <w:pPr>
        <w:spacing w:after="120"/>
        <w:ind w:firstLine="426"/>
      </w:pPr>
      <w:r>
        <w:rPr>
          <w:b w:val="0"/>
          <w:i w:val="0"/>
        </w:rPr>
        <w:t>Форма А.1 - Карточка заказа</w:t>
      </w:r>
    </w:p>
    <w:tbl>
      <w:tblPr>
        <w:tblStyle w:val="TableGrid"/>
        <w:tblW w:type="auto" w:w="0"/>
        <w:jc w:val="center"/>
        <w:tblLook w:firstColumn="1" w:firstRow="1" w:lastColumn="0" w:lastRow="0" w:noHBand="0" w:noVBand="1" w:val="04A0"/>
      </w:tblPr>
      <w:tblGrid>
        <w:gridCol w:w="4320"/>
        <w:gridCol w:w="4320"/>
      </w:tblGrid>
      <w:tr>
        <w:tc>
          <w:tcPr>
            <w:tcW w:type="dxa" w:w="4320"/>
            <w:vAlign w:val="center"/>
          </w:tcPr>
          <w:p>
            <w:r>
              <w:rPr>
                <w:b/>
              </w:rPr>
              <w:t>Поле</w:t>
            </w:r>
          </w:p>
        </w:tc>
        <w:tc>
          <w:tcPr>
            <w:tcW w:type="dxa" w:w="4320"/>
            <w:vAlign w:val="center"/>
          </w:tcPr>
          <w:p>
            <w:r>
              <w:rPr>
                <w:b/>
              </w:rPr>
              <w:t>Содержание</w:t>
            </w:r>
          </w:p>
        </w:tc>
      </w:tr>
      <w:tr>
        <w:tc>
          <w:tcPr>
            <w:tcW w:type="dxa" w:w="4320"/>
            <w:vAlign w:val="center"/>
          </w:tcPr>
          <w:p>
            <w:r>
              <w:t>Номер заказа</w:t>
            </w:r>
          </w:p>
        </w:tc>
        <w:tc>
          <w:tcPr>
            <w:tcW w:type="dxa" w:w="4320"/>
            <w:vAlign w:val="center"/>
          </w:tcPr>
          <w:p>
            <w:r/>
          </w:p>
        </w:tc>
      </w:tr>
      <w:tr>
        <w:tc>
          <w:tcPr>
            <w:tcW w:type="dxa" w:w="4320"/>
            <w:vAlign w:val="center"/>
          </w:tcPr>
          <w:p>
            <w:r>
              <w:t>Дата поступления</w:t>
            </w:r>
          </w:p>
        </w:tc>
        <w:tc>
          <w:tcPr>
            <w:tcW w:type="dxa" w:w="4320"/>
            <w:vAlign w:val="center"/>
          </w:tcPr>
          <w:p>
            <w:r/>
          </w:p>
        </w:tc>
      </w:tr>
      <w:tr>
        <w:tc>
          <w:tcPr>
            <w:tcW w:type="dxa" w:w="4320"/>
            <w:vAlign w:val="center"/>
          </w:tcPr>
          <w:p>
            <w:r>
              <w:t>Канал поступления</w:t>
            </w:r>
          </w:p>
        </w:tc>
        <w:tc>
          <w:tcPr>
            <w:tcW w:type="dxa" w:w="4320"/>
            <w:vAlign w:val="center"/>
          </w:tcPr>
          <w:p>
            <w:r/>
          </w:p>
        </w:tc>
      </w:tr>
      <w:tr>
        <w:tc>
          <w:tcPr>
            <w:tcW w:type="dxa" w:w="4320"/>
            <w:vAlign w:val="center"/>
          </w:tcPr>
          <w:p>
            <w:r>
              <w:t>Статус заказа</w:t>
            </w:r>
          </w:p>
        </w:tc>
        <w:tc>
          <w:tcPr>
            <w:tcW w:type="dxa" w:w="4320"/>
            <w:vAlign w:val="center"/>
          </w:tcPr>
          <w:p>
            <w:r/>
          </w:p>
        </w:tc>
      </w:tr>
      <w:tr>
        <w:tc>
          <w:tcPr>
            <w:tcW w:type="dxa" w:w="4320"/>
            <w:vAlign w:val="center"/>
          </w:tcPr>
          <w:p>
            <w:r>
              <w:t>Ответственный</w:t>
            </w:r>
          </w:p>
        </w:tc>
        <w:tc>
          <w:tcPr>
            <w:tcW w:type="dxa" w:w="4320"/>
            <w:vAlign w:val="center"/>
          </w:tcPr>
          <w:p>
            <w:r/>
          </w:p>
        </w:tc>
      </w:tr>
      <w:tr>
        <w:tc>
          <w:tcPr>
            <w:tcW w:type="dxa" w:w="4320"/>
            <w:vAlign w:val="center"/>
          </w:tcPr>
          <w:p>
            <w:r>
              <w:t>Комментарий</w:t>
            </w:r>
          </w:p>
        </w:tc>
        <w:tc>
          <w:tcPr>
            <w:tcW w:type="dxa" w:w="4320"/>
            <w:vAlign w:val="center"/>
          </w:tcPr>
          <w:p>
            <w:r/>
          </w:p>
        </w:tc>
      </w:tr>
    </w:tbl>
    <w:p>
      <w:pPr>
        <w:spacing w:after="120"/>
        <w:ind w:firstLine="426"/>
      </w:pPr>
      <w:r>
        <w:rPr>
          <w:b w:val="0"/>
          <w:i w:val="0"/>
        </w:rPr>
        <w:t>Форма А.2 - Спецификация конфигурации</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tcPr>
          <w:p>
            <w:r>
              <w:rPr>
                <w:b/>
              </w:rPr>
              <w:t>Комплектующая</w:t>
            </w:r>
          </w:p>
        </w:tc>
        <w:tc>
          <w:tcPr>
            <w:tcW w:type="dxa" w:w="2160"/>
            <w:vAlign w:val="center"/>
          </w:tcPr>
          <w:p>
            <w:r>
              <w:rPr>
                <w:b/>
              </w:rPr>
              <w:t>Модель/характеристика</w:t>
            </w:r>
          </w:p>
        </w:tc>
        <w:tc>
          <w:tcPr>
            <w:tcW w:type="dxa" w:w="2160"/>
            <w:vAlign w:val="center"/>
          </w:tcPr>
          <w:p>
            <w:r>
              <w:rPr>
                <w:b/>
              </w:rPr>
              <w:t>Количество</w:t>
            </w:r>
          </w:p>
        </w:tc>
        <w:tc>
          <w:tcPr>
            <w:tcW w:type="dxa" w:w="2160"/>
            <w:vAlign w:val="center"/>
          </w:tcPr>
          <w:p>
            <w:r>
              <w:rPr>
                <w:b/>
              </w:rPr>
              <w:t>Комментарий</w:t>
            </w:r>
          </w:p>
        </w:tc>
      </w:tr>
      <w:tr>
        <w:tc>
          <w:tcPr>
            <w:tcW w:type="dxa" w:w="2160"/>
            <w:vAlign w:val="center"/>
          </w:tcPr>
          <w:p>
            <w:r>
              <w:t>Процессор</w:t>
            </w:r>
          </w:p>
        </w:tc>
        <w:tc>
          <w:tcPr>
            <w:tcW w:type="dxa" w:w="2160"/>
            <w:vAlign w:val="center"/>
          </w:tcPr>
          <w:p>
            <w:r/>
          </w:p>
        </w:tc>
        <w:tc>
          <w:tcPr>
            <w:tcW w:type="dxa" w:w="2160"/>
            <w:vAlign w:val="center"/>
          </w:tcPr>
          <w:p>
            <w:r/>
          </w:p>
        </w:tc>
        <w:tc>
          <w:tcPr>
            <w:tcW w:type="dxa" w:w="2160"/>
            <w:vAlign w:val="center"/>
          </w:tcPr>
          <w:p>
            <w:r/>
          </w:p>
        </w:tc>
      </w:tr>
      <w:tr>
        <w:tc>
          <w:tcPr>
            <w:tcW w:type="dxa" w:w="2160"/>
            <w:vAlign w:val="center"/>
          </w:tcPr>
          <w:p>
            <w:r>
              <w:t>Материнская плата</w:t>
            </w:r>
          </w:p>
        </w:tc>
        <w:tc>
          <w:tcPr>
            <w:tcW w:type="dxa" w:w="2160"/>
            <w:vAlign w:val="center"/>
          </w:tcPr>
          <w:p>
            <w:r/>
          </w:p>
        </w:tc>
        <w:tc>
          <w:tcPr>
            <w:tcW w:type="dxa" w:w="2160"/>
            <w:vAlign w:val="center"/>
          </w:tcPr>
          <w:p>
            <w:r/>
          </w:p>
        </w:tc>
        <w:tc>
          <w:tcPr>
            <w:tcW w:type="dxa" w:w="2160"/>
            <w:vAlign w:val="center"/>
          </w:tcPr>
          <w:p>
            <w:r/>
          </w:p>
        </w:tc>
      </w:tr>
      <w:tr>
        <w:tc>
          <w:tcPr>
            <w:tcW w:type="dxa" w:w="2160"/>
            <w:vAlign w:val="center"/>
          </w:tcPr>
          <w:p>
            <w:r>
              <w:t>Оперативная память</w:t>
            </w:r>
          </w:p>
        </w:tc>
        <w:tc>
          <w:tcPr>
            <w:tcW w:type="dxa" w:w="2160"/>
            <w:vAlign w:val="center"/>
          </w:tcPr>
          <w:p>
            <w:r/>
          </w:p>
        </w:tc>
        <w:tc>
          <w:tcPr>
            <w:tcW w:type="dxa" w:w="2160"/>
            <w:vAlign w:val="center"/>
          </w:tcPr>
          <w:p>
            <w:r/>
          </w:p>
        </w:tc>
        <w:tc>
          <w:tcPr>
            <w:tcW w:type="dxa" w:w="2160"/>
            <w:vAlign w:val="center"/>
          </w:tcPr>
          <w:p>
            <w:r/>
          </w:p>
        </w:tc>
      </w:tr>
      <w:tr>
        <w:tc>
          <w:tcPr>
            <w:tcW w:type="dxa" w:w="2160"/>
            <w:vAlign w:val="center"/>
          </w:tcPr>
          <w:p>
            <w:r>
              <w:t>Накопитель</w:t>
            </w:r>
          </w:p>
        </w:tc>
        <w:tc>
          <w:tcPr>
            <w:tcW w:type="dxa" w:w="2160"/>
            <w:vAlign w:val="center"/>
          </w:tcPr>
          <w:p>
            <w:r/>
          </w:p>
        </w:tc>
        <w:tc>
          <w:tcPr>
            <w:tcW w:type="dxa" w:w="2160"/>
            <w:vAlign w:val="center"/>
          </w:tcPr>
          <w:p>
            <w:r/>
          </w:p>
        </w:tc>
        <w:tc>
          <w:tcPr>
            <w:tcW w:type="dxa" w:w="2160"/>
            <w:vAlign w:val="center"/>
          </w:tcPr>
          <w:p>
            <w:r/>
          </w:p>
        </w:tc>
      </w:tr>
      <w:tr>
        <w:tc>
          <w:tcPr>
            <w:tcW w:type="dxa" w:w="2160"/>
            <w:vAlign w:val="center"/>
          </w:tcPr>
          <w:p>
            <w:r>
              <w:t>Видеокарта</w:t>
            </w:r>
          </w:p>
        </w:tc>
        <w:tc>
          <w:tcPr>
            <w:tcW w:type="dxa" w:w="2160"/>
            <w:vAlign w:val="center"/>
          </w:tcPr>
          <w:p>
            <w:r/>
          </w:p>
        </w:tc>
        <w:tc>
          <w:tcPr>
            <w:tcW w:type="dxa" w:w="2160"/>
            <w:vAlign w:val="center"/>
          </w:tcPr>
          <w:p>
            <w:r/>
          </w:p>
        </w:tc>
        <w:tc>
          <w:tcPr>
            <w:tcW w:type="dxa" w:w="2160"/>
            <w:vAlign w:val="center"/>
          </w:tcPr>
          <w:p>
            <w:r/>
          </w:p>
        </w:tc>
      </w:tr>
      <w:tr>
        <w:tc>
          <w:tcPr>
            <w:tcW w:type="dxa" w:w="2160"/>
            <w:vAlign w:val="center"/>
          </w:tcPr>
          <w:p>
            <w:r>
              <w:t>Блок питания</w:t>
            </w:r>
          </w:p>
        </w:tc>
        <w:tc>
          <w:tcPr>
            <w:tcW w:type="dxa" w:w="2160"/>
            <w:vAlign w:val="center"/>
          </w:tcPr>
          <w:p>
            <w:r/>
          </w:p>
        </w:tc>
        <w:tc>
          <w:tcPr>
            <w:tcW w:type="dxa" w:w="2160"/>
            <w:vAlign w:val="center"/>
          </w:tcPr>
          <w:p>
            <w:r/>
          </w:p>
        </w:tc>
        <w:tc>
          <w:tcPr>
            <w:tcW w:type="dxa" w:w="2160"/>
            <w:vAlign w:val="center"/>
          </w:tcPr>
          <w:p>
            <w:r/>
          </w:p>
        </w:tc>
      </w:tr>
      <w:tr>
        <w:tc>
          <w:tcPr>
            <w:tcW w:type="dxa" w:w="2160"/>
            <w:vAlign w:val="center"/>
          </w:tcPr>
          <w:p>
            <w:r>
              <w:t>Корпус</w:t>
            </w:r>
          </w:p>
        </w:tc>
        <w:tc>
          <w:tcPr>
            <w:tcW w:type="dxa" w:w="2160"/>
            <w:vAlign w:val="center"/>
          </w:tcPr>
          <w:p>
            <w:r/>
          </w:p>
        </w:tc>
        <w:tc>
          <w:tcPr>
            <w:tcW w:type="dxa" w:w="2160"/>
            <w:vAlign w:val="center"/>
          </w:tcPr>
          <w:p>
            <w:r/>
          </w:p>
        </w:tc>
        <w:tc>
          <w:tcPr>
            <w:tcW w:type="dxa" w:w="2160"/>
            <w:vAlign w:val="center"/>
          </w:tcPr>
          <w:p>
            <w:r/>
          </w:p>
        </w:tc>
      </w:tr>
    </w:tbl>
    <w:p>
      <w:pPr>
        <w:spacing w:after="120"/>
        <w:ind w:firstLine="426"/>
      </w:pPr>
      <w:r>
        <w:rPr>
          <w:b w:val="0"/>
          <w:i w:val="0"/>
        </w:rPr>
        <w:t>Форма А.3 - Задание на выполнение</w:t>
      </w:r>
    </w:p>
    <w:tbl>
      <w:tblPr>
        <w:tblStyle w:val="TableGrid"/>
        <w:tblW w:type="auto" w:w="0"/>
        <w:jc w:val="center"/>
        <w:tblLook w:firstColumn="1" w:firstRow="1" w:lastColumn="0" w:lastRow="0" w:noHBand="0" w:noVBand="1" w:val="04A0"/>
      </w:tblPr>
      <w:tblGrid>
        <w:gridCol w:w="4320"/>
        <w:gridCol w:w="4320"/>
      </w:tblGrid>
      <w:tr>
        <w:tc>
          <w:tcPr>
            <w:tcW w:type="dxa" w:w="4320"/>
            <w:vAlign w:val="center"/>
          </w:tcPr>
          <w:p>
            <w:r>
              <w:rPr>
                <w:b/>
              </w:rPr>
              <w:t>Поле</w:t>
            </w:r>
          </w:p>
        </w:tc>
        <w:tc>
          <w:tcPr>
            <w:tcW w:type="dxa" w:w="4320"/>
            <w:vAlign w:val="center"/>
          </w:tcPr>
          <w:p>
            <w:r>
              <w:rPr>
                <w:b/>
              </w:rPr>
              <w:t>Содержание</w:t>
            </w:r>
          </w:p>
        </w:tc>
      </w:tr>
      <w:tr>
        <w:tc>
          <w:tcPr>
            <w:tcW w:type="dxa" w:w="4320"/>
            <w:vAlign w:val="center"/>
          </w:tcPr>
          <w:p>
            <w:r>
              <w:t>Номер заказа</w:t>
            </w:r>
          </w:p>
        </w:tc>
        <w:tc>
          <w:tcPr>
            <w:tcW w:type="dxa" w:w="4320"/>
            <w:vAlign w:val="center"/>
          </w:tcPr>
          <w:p>
            <w:r/>
          </w:p>
        </w:tc>
      </w:tr>
      <w:tr>
        <w:tc>
          <w:tcPr>
            <w:tcW w:type="dxa" w:w="4320"/>
            <w:vAlign w:val="center"/>
          </w:tcPr>
          <w:p>
            <w:r>
              <w:t>Исполнитель</w:t>
            </w:r>
          </w:p>
        </w:tc>
        <w:tc>
          <w:tcPr>
            <w:tcW w:type="dxa" w:w="4320"/>
            <w:vAlign w:val="center"/>
          </w:tcPr>
          <w:p>
            <w:r/>
          </w:p>
        </w:tc>
      </w:tr>
      <w:tr>
        <w:tc>
          <w:tcPr>
            <w:tcW w:type="dxa" w:w="4320"/>
            <w:vAlign w:val="center"/>
          </w:tcPr>
          <w:p>
            <w:r>
              <w:t>Этап</w:t>
            </w:r>
          </w:p>
        </w:tc>
        <w:tc>
          <w:tcPr>
            <w:tcW w:type="dxa" w:w="4320"/>
            <w:vAlign w:val="center"/>
          </w:tcPr>
          <w:p>
            <w:r/>
          </w:p>
        </w:tc>
      </w:tr>
      <w:tr>
        <w:tc>
          <w:tcPr>
            <w:tcW w:type="dxa" w:w="4320"/>
            <w:vAlign w:val="center"/>
          </w:tcPr>
          <w:p>
            <w:r>
              <w:t>Статус задания</w:t>
            </w:r>
          </w:p>
        </w:tc>
        <w:tc>
          <w:tcPr>
            <w:tcW w:type="dxa" w:w="4320"/>
            <w:vAlign w:val="center"/>
          </w:tcPr>
          <w:p>
            <w:r/>
          </w:p>
        </w:tc>
      </w:tr>
      <w:tr>
        <w:tc>
          <w:tcPr>
            <w:tcW w:type="dxa" w:w="4320"/>
            <w:vAlign w:val="center"/>
          </w:tcPr>
          <w:p>
            <w:r>
              <w:t>Дата передачи</w:t>
            </w:r>
          </w:p>
        </w:tc>
        <w:tc>
          <w:tcPr>
            <w:tcW w:type="dxa" w:w="4320"/>
            <w:vAlign w:val="center"/>
          </w:tcPr>
          <w:p>
            <w:r/>
          </w:p>
        </w:tc>
      </w:tr>
      <w:tr>
        <w:tc>
          <w:tcPr>
            <w:tcW w:type="dxa" w:w="4320"/>
            <w:vAlign w:val="center"/>
          </w:tcPr>
          <w:p>
            <w:r>
              <w:t>Статус выполнения</w:t>
            </w:r>
          </w:p>
        </w:tc>
        <w:tc>
          <w:tcPr>
            <w:tcW w:type="dxa" w:w="4320"/>
            <w:vAlign w:val="center"/>
          </w:tcPr>
          <w:p>
            <w:r/>
          </w:p>
        </w:tc>
      </w:tr>
    </w:tbl>
    <w:p>
      <w:pPr>
        <w:spacing w:after="120"/>
        <w:ind w:firstLine="426"/>
      </w:pPr>
      <w:r>
        <w:rPr>
          <w:b w:val="0"/>
          <w:i w:val="0"/>
        </w:rPr>
        <w:t>Форма А.4 - Фиксация серийных номеров комплектующих</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tcPr>
          <w:p>
            <w:r>
              <w:rPr>
                <w:b/>
              </w:rPr>
              <w:t>Комплектующая</w:t>
            </w:r>
          </w:p>
        </w:tc>
        <w:tc>
          <w:tcPr>
            <w:tcW w:type="dxa" w:w="1728"/>
            <w:vAlign w:val="center"/>
          </w:tcPr>
          <w:p>
            <w:r>
              <w:rPr>
                <w:b/>
              </w:rPr>
              <w:t>Серийный номер</w:t>
            </w:r>
          </w:p>
        </w:tc>
        <w:tc>
          <w:tcPr>
            <w:tcW w:type="dxa" w:w="1728"/>
            <w:vAlign w:val="center"/>
          </w:tcPr>
          <w:p>
            <w:r>
              <w:rPr>
                <w:b/>
              </w:rPr>
              <w:t>Поставщик</w:t>
            </w:r>
          </w:p>
        </w:tc>
        <w:tc>
          <w:tcPr>
            <w:tcW w:type="dxa" w:w="1728"/>
            <w:vAlign w:val="center"/>
          </w:tcPr>
          <w:p>
            <w:r>
              <w:rPr>
                <w:b/>
              </w:rPr>
              <w:t>Связанный заказ</w:t>
            </w:r>
          </w:p>
        </w:tc>
        <w:tc>
          <w:tcPr>
            <w:tcW w:type="dxa" w:w="1728"/>
            <w:vAlign w:val="center"/>
          </w:tcPr>
          <w:p>
            <w:r>
              <w:rPr>
                <w:b/>
              </w:rPr>
              <w:t>Комментарий</w:t>
            </w:r>
          </w:p>
        </w:tc>
      </w:tr>
      <w:tr>
        <w:tc>
          <w:tcPr>
            <w:tcW w:type="dxa" w:w="1728"/>
            <w:vAlign w:val="center"/>
          </w:tcPr>
          <w:p>
            <w:r/>
          </w:p>
        </w:tc>
        <w:tc>
          <w:tcPr>
            <w:tcW w:type="dxa" w:w="1728"/>
            <w:vAlign w:val="center"/>
          </w:tcPr>
          <w:p>
            <w:r/>
          </w:p>
        </w:tc>
        <w:tc>
          <w:tcPr>
            <w:tcW w:type="dxa" w:w="1728"/>
            <w:vAlign w:val="center"/>
          </w:tcPr>
          <w:p>
            <w:r/>
          </w:p>
        </w:tc>
        <w:tc>
          <w:tcPr>
            <w:tcW w:type="dxa" w:w="1728"/>
            <w:vAlign w:val="center"/>
          </w:tcPr>
          <w:p>
            <w:r/>
          </w:p>
        </w:tc>
        <w:tc>
          <w:tcPr>
            <w:tcW w:type="dxa" w:w="1728"/>
            <w:vAlign w:val="center"/>
          </w:tcPr>
          <w:p>
            <w:r/>
          </w:p>
        </w:tc>
      </w:tr>
      <w:tr>
        <w:tc>
          <w:tcPr>
            <w:tcW w:type="dxa" w:w="1728"/>
            <w:vAlign w:val="center"/>
          </w:tcPr>
          <w:p>
            <w:r/>
          </w:p>
        </w:tc>
        <w:tc>
          <w:tcPr>
            <w:tcW w:type="dxa" w:w="1728"/>
            <w:vAlign w:val="center"/>
          </w:tcPr>
          <w:p>
            <w:r/>
          </w:p>
        </w:tc>
        <w:tc>
          <w:tcPr>
            <w:tcW w:type="dxa" w:w="1728"/>
            <w:vAlign w:val="center"/>
          </w:tcPr>
          <w:p>
            <w:r/>
          </w:p>
        </w:tc>
        <w:tc>
          <w:tcPr>
            <w:tcW w:type="dxa" w:w="1728"/>
            <w:vAlign w:val="center"/>
          </w:tcPr>
          <w:p>
            <w:r/>
          </w:p>
        </w:tc>
        <w:tc>
          <w:tcPr>
            <w:tcW w:type="dxa" w:w="1728"/>
            <w:vAlign w:val="center"/>
          </w:tcPr>
          <w:p>
            <w:r/>
          </w:p>
        </w:tc>
      </w:tr>
    </w:tbl>
    <w:p>
      <w:pPr>
        <w:spacing w:after="120"/>
        <w:ind w:firstLine="426"/>
      </w:pPr>
      <w:r>
        <w:rPr>
          <w:b w:val="0"/>
          <w:i w:val="0"/>
        </w:rPr>
        <w:t>Форма А.5 - Результат диагностики</w:t>
      </w:r>
    </w:p>
    <w:tbl>
      <w:tblPr>
        <w:tblStyle w:val="TableGrid"/>
        <w:tblW w:type="auto" w:w="0"/>
        <w:jc w:val="center"/>
        <w:tblLook w:firstColumn="1" w:firstRow="1" w:lastColumn="0" w:lastRow="0" w:noHBand="0" w:noVBand="1" w:val="04A0"/>
      </w:tblPr>
      <w:tblGrid>
        <w:gridCol w:w="4320"/>
        <w:gridCol w:w="4320"/>
      </w:tblGrid>
      <w:tr>
        <w:tc>
          <w:tcPr>
            <w:tcW w:type="dxa" w:w="4320"/>
            <w:vAlign w:val="center"/>
          </w:tcPr>
          <w:p>
            <w:r>
              <w:rPr>
                <w:b/>
              </w:rPr>
              <w:t>Поле</w:t>
            </w:r>
          </w:p>
        </w:tc>
        <w:tc>
          <w:tcPr>
            <w:tcW w:type="dxa" w:w="4320"/>
            <w:vAlign w:val="center"/>
          </w:tcPr>
          <w:p>
            <w:r>
              <w:rPr>
                <w:b/>
              </w:rPr>
              <w:t>Содержание</w:t>
            </w:r>
          </w:p>
        </w:tc>
      </w:tr>
      <w:tr>
        <w:tc>
          <w:tcPr>
            <w:tcW w:type="dxa" w:w="4320"/>
            <w:vAlign w:val="center"/>
          </w:tcPr>
          <w:p>
            <w:r>
              <w:t>Номер заказа</w:t>
            </w:r>
          </w:p>
        </w:tc>
        <w:tc>
          <w:tcPr>
            <w:tcW w:type="dxa" w:w="4320"/>
            <w:vAlign w:val="center"/>
          </w:tcPr>
          <w:p>
            <w:r/>
          </w:p>
        </w:tc>
      </w:tr>
      <w:tr>
        <w:tc>
          <w:tcPr>
            <w:tcW w:type="dxa" w:w="4320"/>
            <w:vAlign w:val="center"/>
          </w:tcPr>
          <w:p>
            <w:r>
              <w:t>Использованная утилита</w:t>
            </w:r>
          </w:p>
        </w:tc>
        <w:tc>
          <w:tcPr>
            <w:tcW w:type="dxa" w:w="4320"/>
            <w:vAlign w:val="center"/>
          </w:tcPr>
          <w:p>
            <w:r/>
          </w:p>
        </w:tc>
      </w:tr>
      <w:tr>
        <w:tc>
          <w:tcPr>
            <w:tcW w:type="dxa" w:w="4320"/>
            <w:vAlign w:val="center"/>
          </w:tcPr>
          <w:p>
            <w:r>
              <w:t>Результат проверки</w:t>
            </w:r>
          </w:p>
        </w:tc>
        <w:tc>
          <w:tcPr>
            <w:tcW w:type="dxa" w:w="4320"/>
            <w:vAlign w:val="center"/>
          </w:tcPr>
          <w:p>
            <w:r/>
          </w:p>
        </w:tc>
      </w:tr>
      <w:tr>
        <w:tc>
          <w:tcPr>
            <w:tcW w:type="dxa" w:w="4320"/>
            <w:vAlign w:val="center"/>
          </w:tcPr>
          <w:p>
            <w:r>
              <w:t>Замечания</w:t>
            </w:r>
          </w:p>
        </w:tc>
        <w:tc>
          <w:tcPr>
            <w:tcW w:type="dxa" w:w="4320"/>
            <w:vAlign w:val="center"/>
          </w:tcPr>
          <w:p>
            <w:r/>
          </w:p>
        </w:tc>
      </w:tr>
      <w:tr>
        <w:tc>
          <w:tcPr>
            <w:tcW w:type="dxa" w:w="4320"/>
            <w:vAlign w:val="center"/>
          </w:tcPr>
          <w:p>
            <w:r>
              <w:t>Ответственный</w:t>
            </w:r>
          </w:p>
        </w:tc>
        <w:tc>
          <w:tcPr>
            <w:tcW w:type="dxa" w:w="4320"/>
            <w:vAlign w:val="center"/>
          </w:tcPr>
          <w:p>
            <w:r/>
          </w:p>
        </w:tc>
      </w:tr>
      <w:tr>
        <w:tc>
          <w:tcPr>
            <w:tcW w:type="dxa" w:w="4320"/>
            <w:vAlign w:val="center"/>
          </w:tcPr>
          <w:p>
            <w:r>
              <w:t>Решение о передаче дальше</w:t>
            </w:r>
          </w:p>
        </w:tc>
        <w:tc>
          <w:tcPr>
            <w:tcW w:type="dxa" w:w="4320"/>
            <w:vAlign w:val="center"/>
          </w:tcPr>
          <w:p>
            <w:r/>
          </w:p>
        </w:tc>
      </w:tr>
    </w:tbl>
    <w:p>
      <w:pPr>
        <w:spacing w:after="120"/>
        <w:ind w:firstLine="426"/>
      </w:pPr>
      <w:r>
        <w:rPr>
          <w:b w:val="0"/>
          <w:i w:val="0"/>
        </w:rPr>
        <w:t>Форма А.6 - Передача сведений о готовности заказа</w:t>
      </w:r>
    </w:p>
    <w:tbl>
      <w:tblPr>
        <w:tblStyle w:val="TableGrid"/>
        <w:tblW w:type="auto" w:w="0"/>
        <w:jc w:val="center"/>
        <w:tblLook w:firstColumn="1" w:firstRow="1" w:lastColumn="0" w:lastRow="0" w:noHBand="0" w:noVBand="1" w:val="04A0"/>
      </w:tblPr>
      <w:tblGrid>
        <w:gridCol w:w="4320"/>
        <w:gridCol w:w="4320"/>
      </w:tblGrid>
      <w:tr>
        <w:tc>
          <w:tcPr>
            <w:tcW w:type="dxa" w:w="4320"/>
            <w:vAlign w:val="center"/>
          </w:tcPr>
          <w:p>
            <w:r>
              <w:rPr>
                <w:b/>
              </w:rPr>
              <w:t>Поле</w:t>
            </w:r>
          </w:p>
        </w:tc>
        <w:tc>
          <w:tcPr>
            <w:tcW w:type="dxa" w:w="4320"/>
            <w:vAlign w:val="center"/>
          </w:tcPr>
          <w:p>
            <w:r>
              <w:rPr>
                <w:b/>
              </w:rPr>
              <w:t>Содержание</w:t>
            </w:r>
          </w:p>
        </w:tc>
      </w:tr>
      <w:tr>
        <w:tc>
          <w:tcPr>
            <w:tcW w:type="dxa" w:w="4320"/>
            <w:vAlign w:val="center"/>
          </w:tcPr>
          <w:p>
            <w:r>
              <w:t>Номер заказа</w:t>
            </w:r>
          </w:p>
        </w:tc>
        <w:tc>
          <w:tcPr>
            <w:tcW w:type="dxa" w:w="4320"/>
            <w:vAlign w:val="center"/>
          </w:tcPr>
          <w:p>
            <w:r/>
          </w:p>
        </w:tc>
      </w:tr>
      <w:tr>
        <w:tc>
          <w:tcPr>
            <w:tcW w:type="dxa" w:w="4320"/>
            <w:vAlign w:val="center"/>
          </w:tcPr>
          <w:p>
            <w:r>
              <w:t>Готовность подтверждена</w:t>
            </w:r>
          </w:p>
        </w:tc>
        <w:tc>
          <w:tcPr>
            <w:tcW w:type="dxa" w:w="4320"/>
            <w:vAlign w:val="center"/>
          </w:tcPr>
          <w:p>
            <w:r/>
          </w:p>
        </w:tc>
      </w:tr>
      <w:tr>
        <w:tc>
          <w:tcPr>
            <w:tcW w:type="dxa" w:w="4320"/>
            <w:vAlign w:val="center"/>
          </w:tcPr>
          <w:p>
            <w:r>
              <w:t>Комплектность подтверждена</w:t>
            </w:r>
          </w:p>
        </w:tc>
        <w:tc>
          <w:tcPr>
            <w:tcW w:type="dxa" w:w="4320"/>
            <w:vAlign w:val="center"/>
          </w:tcPr>
          <w:p>
            <w:r/>
          </w:p>
        </w:tc>
      </w:tr>
      <w:tr>
        <w:tc>
          <w:tcPr>
            <w:tcW w:type="dxa" w:w="4320"/>
            <w:vAlign w:val="center"/>
          </w:tcPr>
          <w:p>
            <w:r>
              <w:t>Ссылка на видеофиксацию</w:t>
            </w:r>
          </w:p>
        </w:tc>
        <w:tc>
          <w:tcPr>
            <w:tcW w:type="dxa" w:w="4320"/>
            <w:vAlign w:val="center"/>
          </w:tcPr>
          <w:p>
            <w:r/>
          </w:p>
        </w:tc>
      </w:tr>
      <w:tr>
        <w:tc>
          <w:tcPr>
            <w:tcW w:type="dxa" w:w="4320"/>
            <w:vAlign w:val="center"/>
          </w:tcPr>
          <w:p>
            <w:r>
              <w:t>Ответственный</w:t>
            </w:r>
          </w:p>
        </w:tc>
        <w:tc>
          <w:tcPr>
            <w:tcW w:type="dxa" w:w="4320"/>
            <w:vAlign w:val="center"/>
          </w:tcPr>
          <w:p>
            <w:r/>
          </w:p>
        </w:tc>
      </w:tr>
      <w:tr>
        <w:tc>
          <w:tcPr>
            <w:tcW w:type="dxa" w:w="4320"/>
            <w:vAlign w:val="center"/>
          </w:tcPr>
          <w:p>
            <w:r>
              <w:t>Дата и время передачи</w:t>
            </w:r>
          </w:p>
        </w:tc>
        <w:tc>
          <w:tcPr>
            <w:tcW w:type="dxa" w:w="4320"/>
            <w:vAlign w:val="center"/>
          </w:tcPr>
          <w:p>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