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7B75" w14:textId="74F76A57" w:rsidR="009078D6" w:rsidRDefault="009078D6" w:rsidP="009078D6">
      <w:r>
        <w:t xml:space="preserve">                                  </w:t>
      </w:r>
    </w:p>
    <w:p w14:paraId="1658B24B" w14:textId="45F10753" w:rsidR="009078D6" w:rsidRPr="00D968D3" w:rsidRDefault="00D968D3" w:rsidP="009078D6">
      <w:pPr>
        <w:rPr>
          <w:b/>
          <w:bCs/>
        </w:rPr>
      </w:pPr>
      <w:r w:rsidRPr="00D968D3">
        <w:rPr>
          <w:b/>
          <w:bCs/>
        </w:rPr>
        <w:t xml:space="preserve">                                  </w:t>
      </w:r>
      <w:r>
        <w:rPr>
          <w:b/>
          <w:bCs/>
        </w:rPr>
        <w:t xml:space="preserve">             </w:t>
      </w:r>
      <w:r w:rsidRPr="00D968D3">
        <w:rPr>
          <w:b/>
          <w:bCs/>
        </w:rPr>
        <w:t xml:space="preserve">   Timer Series Evant Retrieval </w:t>
      </w:r>
    </w:p>
    <w:p w14:paraId="0CBA2254" w14:textId="75BEFC30" w:rsidR="009078D6" w:rsidRPr="009078D6" w:rsidRDefault="009078D6" w:rsidP="00D34B45">
      <w:pPr>
        <w:jc w:val="both"/>
      </w:pPr>
      <w:r w:rsidRPr="009078D6">
        <w:t>Time-series data can be represented in various forms—such as raw sequences, statistical summaries, or transformed feature spaces—and each representation may capture different aspects of temporal patterns. In parallel, embedding methods, including both classical techniques and modern learned representations, aim to map these time-series into a vector space where similarity can be efficiently measured.</w:t>
      </w:r>
      <w:r w:rsidR="00FE43DC">
        <w:t xml:space="preserve"> In this project, we will investigate </w:t>
      </w:r>
      <w:r w:rsidR="00FE43DC" w:rsidRPr="009078D6">
        <w:t>how different time-series representations and machine learning–based embedding methods influence the effectiveness of retrieving similar historical events from large-scale datasets.</w:t>
      </w:r>
    </w:p>
    <w:p w14:paraId="5BC3BB5E" w14:textId="77777777" w:rsidR="009078D6" w:rsidRPr="009078D6" w:rsidRDefault="009078D6" w:rsidP="00D34B45">
      <w:pPr>
        <w:jc w:val="both"/>
      </w:pPr>
      <w:r w:rsidRPr="009078D6">
        <w:t>The primary objective of this work is to develop a reproducible and systematic framework for evaluating and comparing these approaches. This framework is designed to benchmark multiple encoding strategies and embedding techniques across diverse application domains, ensuring that results are consistent, interpretable, and extensible. By analyzing how representation choices interact with embedding methods, the project seeks to identify which combinations yield the most meaningful and reliable retrieval of similar historical events, ultimately contributing to improved performance in tasks such as anomaly detection, forecasting, and pattern discovery.</w:t>
      </w:r>
    </w:p>
    <w:p w14:paraId="5E9BBB0B" w14:textId="77777777" w:rsidR="009078D6" w:rsidRDefault="009078D6" w:rsidP="00D34B45">
      <w:pPr>
        <w:jc w:val="both"/>
      </w:pPr>
    </w:p>
    <w:p w14:paraId="2035B686" w14:textId="54CBA751" w:rsidR="009C7AB7" w:rsidRDefault="00581EDD" w:rsidP="00D34B45">
      <w:pPr>
        <w:jc w:val="both"/>
        <w:rPr>
          <w:b/>
          <w:bCs/>
        </w:rPr>
      </w:pPr>
      <w:r>
        <w:rPr>
          <w:b/>
          <w:bCs/>
        </w:rPr>
        <w:t xml:space="preserve">Background </w:t>
      </w:r>
    </w:p>
    <w:p w14:paraId="72E8E51F" w14:textId="010B96F6" w:rsidR="00581EDD" w:rsidRPr="00581EDD" w:rsidRDefault="00581EDD" w:rsidP="00D34B45">
      <w:pPr>
        <w:jc w:val="both"/>
      </w:pPr>
      <w:r w:rsidRPr="00581EDD">
        <w:t xml:space="preserve">Similar-event retrieval is a common task in time-series applications such as sensor streams, including maintenance vibration monitoring, inertial measurement unit (IMU) data, and electrocardiogram (ECG) analysis. In practice, </w:t>
      </w:r>
      <w:r w:rsidR="00DB490D">
        <w:t xml:space="preserve">similar-event </w:t>
      </w:r>
      <w:r w:rsidRPr="00581EDD">
        <w:t>retrieval is rarely performed in isolation; it is typically combined with metadata-based filtering (e.g., time ranges</w:t>
      </w:r>
      <w:r w:rsidR="00DB490D">
        <w:t xml:space="preserve"> </w:t>
      </w:r>
      <w:r w:rsidRPr="00581EDD">
        <w:t>or operating conditions). As a result, overall system performance depends not only on the quality of learned embeddings, but also on the efficiency of indexing structures and the behavior of filtered query execution.</w:t>
      </w:r>
    </w:p>
    <w:p w14:paraId="6BAABC9D" w14:textId="1029332D" w:rsidR="00581EDD" w:rsidRPr="00581EDD" w:rsidRDefault="00581EDD" w:rsidP="00D34B45">
      <w:pPr>
        <w:jc w:val="both"/>
      </w:pPr>
      <w:r w:rsidRPr="00581EDD">
        <w:t>Recent advances in time-series representation have increasingly focused on generating reusable embeddings that generalize across tasks and domains. Self-supervised methods have played a</w:t>
      </w:r>
      <w:r w:rsidR="00DB490D">
        <w:t>n important</w:t>
      </w:r>
      <w:r w:rsidRPr="00581EDD">
        <w:t xml:space="preserve"> role in this shift. For example, TS2Vec demonstrates that hierarchical contrastive learning can produce robust representations that transfer well to similarity-based tasks. Temporal Neighborhood Coding (TNC) leverages local stationarity assumptions to enforce neighborhood consistency, making it effective for non-stationary signals. </w:t>
      </w:r>
      <w:r w:rsidR="00DB490D">
        <w:t>Moreover</w:t>
      </w:r>
      <w:r w:rsidRPr="00581EDD">
        <w:t xml:space="preserve">, Contrastive Predictive Coding (CPC) introduces predictive self-supervised objectives that capture temporal dependencies and have shown strong </w:t>
      </w:r>
      <w:r w:rsidRPr="00581EDD">
        <w:lastRenderedPageBreak/>
        <w:t xml:space="preserve">performance across multiple modalities. </w:t>
      </w:r>
      <w:r w:rsidR="00DB490D">
        <w:t>In brief</w:t>
      </w:r>
      <w:r w:rsidRPr="00581EDD">
        <w:t xml:space="preserve">, these approaches </w:t>
      </w:r>
      <w:r w:rsidR="00DB490D">
        <w:t xml:space="preserve">have </w:t>
      </w:r>
      <w:r w:rsidRPr="00581EDD">
        <w:t>highlight</w:t>
      </w:r>
      <w:r w:rsidR="00DB490D">
        <w:t>ed</w:t>
      </w:r>
      <w:r w:rsidRPr="00581EDD">
        <w:t xml:space="preserve"> the growing importance of learning general-purpose embeddings for time-series retrieval.</w:t>
      </w:r>
    </w:p>
    <w:p w14:paraId="035219F6" w14:textId="438DD1F9" w:rsidR="0093400C" w:rsidRDefault="0093400C" w:rsidP="00D34B45">
      <w:pPr>
        <w:jc w:val="both"/>
      </w:pPr>
      <w:r w:rsidRPr="0093400C">
        <w:t>To provide a grounded comparison, this project incorporates both supervised and non-</w:t>
      </w:r>
      <w:r w:rsidR="00BA6A54">
        <w:t xml:space="preserve">supervised </w:t>
      </w:r>
      <w:r w:rsidRPr="0093400C">
        <w:t xml:space="preserve">learning baselines. </w:t>
      </w:r>
      <w:proofErr w:type="spellStart"/>
      <w:r w:rsidRPr="0093400C">
        <w:t>InceptionTime</w:t>
      </w:r>
      <w:proofErr w:type="spellEnd"/>
      <w:r w:rsidRPr="0093400C">
        <w:t xml:space="preserve"> is used as a scalable supervised benchmark, with its penultimate layer representations serving as feature embeddings when labeled data is available. Complementing this, </w:t>
      </w:r>
      <w:proofErr w:type="spellStart"/>
      <w:r w:rsidR="00BA6A54">
        <w:t>T</w:t>
      </w:r>
      <w:r w:rsidRPr="0093400C">
        <w:t>sfresh</w:t>
      </w:r>
      <w:proofErr w:type="spellEnd"/>
      <w:r w:rsidRPr="0093400C">
        <w:t xml:space="preserve"> offers a rich collection of hand-engineered statistical features that continue to perform well </w:t>
      </w:r>
      <w:r w:rsidR="00BA6A54" w:rsidRPr="0093400C">
        <w:t>in</w:t>
      </w:r>
      <w:r w:rsidRPr="0093400C">
        <w:t xml:space="preserve"> a variety of tasks. In addition, Dynamic Time Warping (DTW) is included as a classical alignment-based similarity measure; although computationally expensive for large datasets, it provides an important reference point as it operates independently of learned representations.</w:t>
      </w:r>
    </w:p>
    <w:p w14:paraId="36200527" w14:textId="77777777" w:rsidR="0093400C" w:rsidRDefault="0093400C" w:rsidP="00D34B45">
      <w:pPr>
        <w:jc w:val="both"/>
      </w:pPr>
    </w:p>
    <w:p w14:paraId="3836D6D9" w14:textId="61769D6A" w:rsidR="00581EDD" w:rsidRPr="00581EDD" w:rsidRDefault="00581EDD" w:rsidP="00D34B45">
      <w:pPr>
        <w:jc w:val="both"/>
      </w:pPr>
      <w:r w:rsidRPr="00581EDD">
        <w:t xml:space="preserve">Beyond representation and embedding, retrieval performance is strongly influenced by the choice of indexing method and system-level design. Approximate nearest neighbor (ANN) techniques are essential for scaling similarity </w:t>
      </w:r>
      <w:r w:rsidR="003B34C4" w:rsidRPr="00581EDD">
        <w:t>searches</w:t>
      </w:r>
      <w:r w:rsidRPr="00581EDD">
        <w:t xml:space="preserve"> to large datasets. Hierarchical Navigable Small World (HNSW) graphs offer strong recall–latency trade-offs, while </w:t>
      </w:r>
      <w:proofErr w:type="spellStart"/>
      <w:r w:rsidRPr="00581EDD">
        <w:t>DiskANN</w:t>
      </w:r>
      <w:proofErr w:type="spellEnd"/>
      <w:r w:rsidRPr="00581EDD">
        <w:t xml:space="preserve"> targets large-scale deployments with SSD-aware optimizations. Libraries such as </w:t>
      </w:r>
      <w:proofErr w:type="spellStart"/>
      <w:r w:rsidRPr="00581EDD">
        <w:t>Faiss</w:t>
      </w:r>
      <w:proofErr w:type="spellEnd"/>
      <w:r w:rsidRPr="00581EDD">
        <w:t xml:space="preserve"> provide a broad taxonomy of indexing strategies for controlled experimentation, and systems like Milvus emphasize practical concerns including distributed execution, dynamic updates, and hybrid query support. Importantly, prior work has shown that filtered ANN queries</w:t>
      </w:r>
      <w:r w:rsidR="003B34C4">
        <w:t xml:space="preserve"> </w:t>
      </w:r>
      <w:r w:rsidRPr="00581EDD">
        <w:t>can significantly alter retrieval outcomes depending on selectivity and execution strategy.</w:t>
      </w:r>
    </w:p>
    <w:p w14:paraId="7B9412D7" w14:textId="2E92DFD5" w:rsidR="00581EDD" w:rsidRPr="00581EDD" w:rsidRDefault="00A43176" w:rsidP="00D34B45">
      <w:pPr>
        <w:jc w:val="both"/>
      </w:pPr>
      <w:r>
        <w:t xml:space="preserve">It is challenge for us to demonstrate how </w:t>
      </w:r>
      <w:r w:rsidRPr="00581EDD">
        <w:t xml:space="preserve">time-series </w:t>
      </w:r>
      <w:proofErr w:type="gramStart"/>
      <w:r w:rsidRPr="00581EDD">
        <w:t>signal is</w:t>
      </w:r>
      <w:proofErr w:type="gramEnd"/>
      <w:r w:rsidRPr="00581EDD">
        <w:t xml:space="preserve"> represented prior to embedding and indexing</w:t>
      </w:r>
      <w:r>
        <w:t xml:space="preserve">.  </w:t>
      </w:r>
      <w:r w:rsidR="00581EDD" w:rsidRPr="00581EDD">
        <w:t>Raw time-domain windows preserve temporal structure but may fail to highlight periodic patterns. Frequency-domain representations, obtained through transforms such as the Fast Fourier Transform (FFT) or Short-Time Fourier Transform (STFT), can better capture spectral characteristics. Time–frequency representations attempt to combine both perspectives</w:t>
      </w:r>
      <w:r w:rsidR="00B17F1F">
        <w:t xml:space="preserve"> </w:t>
      </w:r>
      <w:r w:rsidR="00581EDD" w:rsidRPr="00581EDD">
        <w:t>though their effectiveness may vary across datasets and</w:t>
      </w:r>
      <w:r w:rsidR="00B17F1F">
        <w:t>/or</w:t>
      </w:r>
      <w:r w:rsidR="00581EDD" w:rsidRPr="00581EDD">
        <w:t xml:space="preserve"> event types. To systematically evaluate these trade-offs, this project compares multiple representation and embedding strategies across curated datasets spanning seismic signals, physiological measurements</w:t>
      </w:r>
      <w:r w:rsidR="00B17F1F">
        <w:t xml:space="preserve"> (ECGs)</w:t>
      </w:r>
      <w:r w:rsidR="00581EDD" w:rsidRPr="00581EDD">
        <w:t>, and standard time-series benchmarks.</w:t>
      </w:r>
    </w:p>
    <w:p w14:paraId="7AA3B963" w14:textId="77777777" w:rsidR="00581EDD" w:rsidRPr="00581EDD" w:rsidRDefault="00581EDD" w:rsidP="00D34B45">
      <w:pPr>
        <w:jc w:val="both"/>
        <w:rPr>
          <w:b/>
          <w:bCs/>
        </w:rPr>
      </w:pPr>
      <w:r w:rsidRPr="00581EDD">
        <w:t xml:space="preserve">Overall, existing literature rarely evaluates representation choice (time, frequency, time–frequency), embedding strategy (self-supervised, supervised, and non-learning), and retrieval performance under filtered workloads within a unified, cross-domain framework. This gap motivates the development of a compact and reproducible evaluation pipeline. The goal is to identify combinations of encoding, embedding, and indexing strategies that </w:t>
      </w:r>
      <w:r w:rsidRPr="00581EDD">
        <w:lastRenderedPageBreak/>
        <w:t>consistently preserve event similarity and generalize effectively across domains, ultimately providing practical guidance for designing reliable time-series retrieval systems.</w:t>
      </w:r>
    </w:p>
    <w:p w14:paraId="0AEE1AD4" w14:textId="5BEE0335" w:rsidR="00581EDD" w:rsidRDefault="009C7AB7" w:rsidP="00D34B45">
      <w:pPr>
        <w:jc w:val="both"/>
      </w:pPr>
      <w:r>
        <w:t xml:space="preserve"> </w:t>
      </w:r>
    </w:p>
    <w:p w14:paraId="10717E1B" w14:textId="77777777" w:rsidR="004855A0" w:rsidRPr="004855A0" w:rsidRDefault="004855A0" w:rsidP="00D34B45">
      <w:pPr>
        <w:jc w:val="both"/>
        <w:rPr>
          <w:b/>
          <w:bCs/>
        </w:rPr>
      </w:pPr>
      <w:r w:rsidRPr="004855A0">
        <w:rPr>
          <w:b/>
          <w:bCs/>
        </w:rPr>
        <w:t>Project Goals</w:t>
      </w:r>
    </w:p>
    <w:p w14:paraId="6CFF928B" w14:textId="77777777" w:rsidR="004855A0" w:rsidRPr="004855A0" w:rsidRDefault="004855A0" w:rsidP="00D34B45">
      <w:pPr>
        <w:numPr>
          <w:ilvl w:val="0"/>
          <w:numId w:val="1"/>
        </w:numPr>
        <w:jc w:val="both"/>
      </w:pPr>
      <w:r w:rsidRPr="004855A0">
        <w:t>Standardize multiple time-series datasets into a common format</w:t>
      </w:r>
    </w:p>
    <w:p w14:paraId="23A5DC4E" w14:textId="77777777" w:rsidR="004855A0" w:rsidRPr="004855A0" w:rsidRDefault="004855A0" w:rsidP="00D34B45">
      <w:pPr>
        <w:numPr>
          <w:ilvl w:val="0"/>
          <w:numId w:val="1"/>
        </w:numPr>
        <w:jc w:val="both"/>
      </w:pPr>
      <w:r w:rsidRPr="004855A0">
        <w:t>Generate different signal representations (time, frequency, and time-frequency)</w:t>
      </w:r>
    </w:p>
    <w:p w14:paraId="2D014EEA" w14:textId="77777777" w:rsidR="004855A0" w:rsidRPr="004855A0" w:rsidRDefault="004855A0" w:rsidP="00D34B45">
      <w:pPr>
        <w:numPr>
          <w:ilvl w:val="0"/>
          <w:numId w:val="1"/>
        </w:numPr>
        <w:jc w:val="both"/>
      </w:pPr>
      <w:r w:rsidRPr="004855A0">
        <w:t>Compare multiple embedding approaches</w:t>
      </w:r>
    </w:p>
    <w:p w14:paraId="263D31CA" w14:textId="77777777" w:rsidR="004855A0" w:rsidRPr="004855A0" w:rsidRDefault="004855A0" w:rsidP="00D34B45">
      <w:pPr>
        <w:numPr>
          <w:ilvl w:val="0"/>
          <w:numId w:val="1"/>
        </w:numPr>
        <w:jc w:val="both"/>
      </w:pPr>
      <w:r w:rsidRPr="004855A0">
        <w:t>Evaluate retrieval performance using vector similarity search</w:t>
      </w:r>
    </w:p>
    <w:p w14:paraId="14ABD080" w14:textId="77777777" w:rsidR="004855A0" w:rsidRPr="004855A0" w:rsidRDefault="004855A0" w:rsidP="00D34B45">
      <w:pPr>
        <w:numPr>
          <w:ilvl w:val="0"/>
          <w:numId w:val="1"/>
        </w:numPr>
        <w:jc w:val="both"/>
      </w:pPr>
      <w:r w:rsidRPr="004855A0">
        <w:t>Identify configurations that generalize well across domains</w:t>
      </w:r>
    </w:p>
    <w:p w14:paraId="0A5CB155" w14:textId="77777777" w:rsidR="001576D6" w:rsidRDefault="001576D6" w:rsidP="00D34B45">
      <w:pPr>
        <w:jc w:val="both"/>
      </w:pPr>
    </w:p>
    <w:p w14:paraId="36526BE3" w14:textId="77777777" w:rsidR="009C7AB7" w:rsidRDefault="009C7AB7" w:rsidP="00D34B45">
      <w:pPr>
        <w:jc w:val="both"/>
      </w:pPr>
    </w:p>
    <w:p w14:paraId="631E7ABC" w14:textId="33329DC1" w:rsidR="00581EDD" w:rsidRPr="00581EDD" w:rsidRDefault="00581EDD" w:rsidP="00D34B45">
      <w:pPr>
        <w:jc w:val="both"/>
        <w:rPr>
          <w:b/>
          <w:bCs/>
        </w:rPr>
      </w:pPr>
      <w:r w:rsidRPr="00581EDD">
        <w:rPr>
          <w:b/>
          <w:bCs/>
        </w:rPr>
        <w:t>Methods:</w:t>
      </w:r>
    </w:p>
    <w:p w14:paraId="031FA20C" w14:textId="40B88523" w:rsidR="00076D12" w:rsidRPr="00581EDD" w:rsidRDefault="00076D12" w:rsidP="00D34B45">
      <w:pPr>
        <w:jc w:val="both"/>
      </w:pPr>
      <w:r w:rsidRPr="00581EDD">
        <w:t>This project</w:t>
      </w:r>
      <w:r w:rsidR="00B17F1F">
        <w:t xml:space="preserve"> studies</w:t>
      </w:r>
      <w:r w:rsidRPr="00581EDD">
        <w:t xml:space="preserve"> event retrieval in time-series data by framing it as a </w:t>
      </w:r>
      <w:proofErr w:type="gramStart"/>
      <w:r w:rsidRPr="00581EDD">
        <w:t>similarity</w:t>
      </w:r>
      <w:proofErr w:type="gramEnd"/>
      <w:r w:rsidRPr="00581EDD">
        <w:t xml:space="preserve"> search problem rather than a purely classification task. Given a query segment representing a meaningful temporal event or pattern, the goal is to retrieve similar segments from a database of indexed time-series windows. Each window is transformed into a vector representation, and retrieval is performed by comparing distances in an embedding space.</w:t>
      </w:r>
    </w:p>
    <w:p w14:paraId="417DF0E7" w14:textId="7EEC7572" w:rsidR="009C7AB7" w:rsidRDefault="009C7AB7" w:rsidP="00D34B45">
      <w:pPr>
        <w:jc w:val="both"/>
      </w:pPr>
      <w:r>
        <w:t>We convert</w:t>
      </w:r>
      <w:r w:rsidR="00D34B45">
        <w:t>ed</w:t>
      </w:r>
      <w:r>
        <w:t xml:space="preserve"> </w:t>
      </w:r>
      <w:r w:rsidR="00B17F1F">
        <w:t>the first selected</w:t>
      </w:r>
      <w:r>
        <w:t xml:space="preserve"> dataset</w:t>
      </w:r>
      <w:r w:rsidR="00B17F1F">
        <w:t xml:space="preserve"> </w:t>
      </w:r>
      <w:proofErr w:type="gramStart"/>
      <w:r w:rsidR="00B17F1F">
        <w:t xml:space="preserve">( </w:t>
      </w:r>
      <w:proofErr w:type="spellStart"/>
      <w:r w:rsidR="00B17F1F">
        <w:t>MT</w:t>
      </w:r>
      <w:proofErr w:type="gramEnd"/>
      <w:r w:rsidR="00B17F1F">
        <w:t>_databse</w:t>
      </w:r>
      <w:proofErr w:type="spellEnd"/>
      <w:r w:rsidR="00B17F1F">
        <w:t>)</w:t>
      </w:r>
      <w:r>
        <w:t xml:space="preserve"> into fixed-duration windows with a shared metadata schema (domain, source or sequence ID for leakage-aware splits, optional labels and conditions) and perform source-level splits to avoid leakage. We then compare</w:t>
      </w:r>
      <w:r w:rsidR="00581EDD">
        <w:t xml:space="preserve"> </w:t>
      </w:r>
      <w:r>
        <w:t xml:space="preserve">retrieval performance across a controlled ablation of representation views (time windows, frequency features from FFT, and mixed time–frequency) and embedding approaches (self-supervised TS2Vec, supervised embeddings from </w:t>
      </w:r>
      <w:proofErr w:type="spellStart"/>
      <w:r>
        <w:t>InceptionTime</w:t>
      </w:r>
      <w:proofErr w:type="spellEnd"/>
      <w:r>
        <w:t>). All configurations are evaluated under a common retrieval</w:t>
      </w:r>
      <w:r w:rsidR="00B17F1F">
        <w:t xml:space="preserve"> </w:t>
      </w:r>
      <w:r>
        <w:t>protocol using vector-database similarity search, and we report cross-domain trends plus recommendations on combinations</w:t>
      </w:r>
      <w:r w:rsidR="00581EDD">
        <w:t xml:space="preserve"> </w:t>
      </w:r>
      <w:r w:rsidR="00B17F1F">
        <w:t>which</w:t>
      </w:r>
      <w:r>
        <w:t xml:space="preserve"> preserve event similarity and transfer reliably.</w:t>
      </w:r>
    </w:p>
    <w:sectPr w:rsidR="009C7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5E38"/>
    <w:multiLevelType w:val="multilevel"/>
    <w:tmpl w:val="B6B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50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A0"/>
    <w:rsid w:val="00076D12"/>
    <w:rsid w:val="001576D6"/>
    <w:rsid w:val="003A10A5"/>
    <w:rsid w:val="003B34C4"/>
    <w:rsid w:val="004855A0"/>
    <w:rsid w:val="004B2577"/>
    <w:rsid w:val="00581EDD"/>
    <w:rsid w:val="0079034D"/>
    <w:rsid w:val="007D379F"/>
    <w:rsid w:val="0082058D"/>
    <w:rsid w:val="009078D6"/>
    <w:rsid w:val="0093400C"/>
    <w:rsid w:val="00987F19"/>
    <w:rsid w:val="009C7AB7"/>
    <w:rsid w:val="00A101A6"/>
    <w:rsid w:val="00A43176"/>
    <w:rsid w:val="00B17F1F"/>
    <w:rsid w:val="00BA6A54"/>
    <w:rsid w:val="00C66926"/>
    <w:rsid w:val="00D34B45"/>
    <w:rsid w:val="00D968D3"/>
    <w:rsid w:val="00DB490D"/>
    <w:rsid w:val="00E77CE3"/>
    <w:rsid w:val="00F92168"/>
    <w:rsid w:val="00FE4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B56B"/>
  <w15:chartTrackingRefBased/>
  <w15:docId w15:val="{020451A1-013E-434B-B8FC-DF3E8B14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A0"/>
    <w:rPr>
      <w:rFonts w:eastAsiaTheme="majorEastAsia" w:cstheme="majorBidi"/>
      <w:color w:val="272727" w:themeColor="text1" w:themeTint="D8"/>
    </w:rPr>
  </w:style>
  <w:style w:type="paragraph" w:styleId="Title">
    <w:name w:val="Title"/>
    <w:basedOn w:val="Normal"/>
    <w:next w:val="Normal"/>
    <w:link w:val="TitleChar"/>
    <w:uiPriority w:val="10"/>
    <w:qFormat/>
    <w:rsid w:val="00485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A0"/>
    <w:pPr>
      <w:spacing w:before="160"/>
      <w:jc w:val="center"/>
    </w:pPr>
    <w:rPr>
      <w:i/>
      <w:iCs/>
      <w:color w:val="404040" w:themeColor="text1" w:themeTint="BF"/>
    </w:rPr>
  </w:style>
  <w:style w:type="character" w:customStyle="1" w:styleId="QuoteChar">
    <w:name w:val="Quote Char"/>
    <w:basedOn w:val="DefaultParagraphFont"/>
    <w:link w:val="Quote"/>
    <w:uiPriority w:val="29"/>
    <w:rsid w:val="004855A0"/>
    <w:rPr>
      <w:i/>
      <w:iCs/>
      <w:color w:val="404040" w:themeColor="text1" w:themeTint="BF"/>
    </w:rPr>
  </w:style>
  <w:style w:type="paragraph" w:styleId="ListParagraph">
    <w:name w:val="List Paragraph"/>
    <w:basedOn w:val="Normal"/>
    <w:uiPriority w:val="34"/>
    <w:qFormat/>
    <w:rsid w:val="004855A0"/>
    <w:pPr>
      <w:ind w:left="720"/>
      <w:contextualSpacing/>
    </w:pPr>
  </w:style>
  <w:style w:type="character" w:styleId="IntenseEmphasis">
    <w:name w:val="Intense Emphasis"/>
    <w:basedOn w:val="DefaultParagraphFont"/>
    <w:uiPriority w:val="21"/>
    <w:qFormat/>
    <w:rsid w:val="004855A0"/>
    <w:rPr>
      <w:i/>
      <w:iCs/>
      <w:color w:val="0F4761" w:themeColor="accent1" w:themeShade="BF"/>
    </w:rPr>
  </w:style>
  <w:style w:type="paragraph" w:styleId="IntenseQuote">
    <w:name w:val="Intense Quote"/>
    <w:basedOn w:val="Normal"/>
    <w:next w:val="Normal"/>
    <w:link w:val="IntenseQuoteChar"/>
    <w:uiPriority w:val="30"/>
    <w:qFormat/>
    <w:rsid w:val="00485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A0"/>
    <w:rPr>
      <w:i/>
      <w:iCs/>
      <w:color w:val="0F4761" w:themeColor="accent1" w:themeShade="BF"/>
    </w:rPr>
  </w:style>
  <w:style w:type="character" w:styleId="IntenseReference">
    <w:name w:val="Intense Reference"/>
    <w:basedOn w:val="DefaultParagraphFont"/>
    <w:uiPriority w:val="32"/>
    <w:qFormat/>
    <w:rsid w:val="004855A0"/>
    <w:rPr>
      <w:b/>
      <w:bCs/>
      <w:smallCaps/>
      <w:color w:val="0F4761" w:themeColor="accent1" w:themeShade="BF"/>
      <w:spacing w:val="5"/>
    </w:rPr>
  </w:style>
  <w:style w:type="character" w:styleId="Hyperlink">
    <w:name w:val="Hyperlink"/>
    <w:basedOn w:val="DefaultParagraphFont"/>
    <w:uiPriority w:val="99"/>
    <w:unhideWhenUsed/>
    <w:rsid w:val="009078D6"/>
    <w:rPr>
      <w:color w:val="467886" w:themeColor="hyperlink"/>
      <w:u w:val="single"/>
    </w:rPr>
  </w:style>
  <w:style w:type="character" w:styleId="UnresolvedMention">
    <w:name w:val="Unresolved Mention"/>
    <w:basedOn w:val="DefaultParagraphFont"/>
    <w:uiPriority w:val="99"/>
    <w:semiHidden/>
    <w:unhideWhenUsed/>
    <w:rsid w:val="0090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909</Words>
  <Characters>6307</Characters>
  <Application>Microsoft Office Word</Application>
  <DocSecurity>0</DocSecurity>
  <Lines>110</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Bo</dc:creator>
  <cp:keywords/>
  <dc:description/>
  <cp:lastModifiedBy>Yang, Bo</cp:lastModifiedBy>
  <cp:revision>2</cp:revision>
  <dcterms:created xsi:type="dcterms:W3CDTF">2026-03-21T00:16:00Z</dcterms:created>
  <dcterms:modified xsi:type="dcterms:W3CDTF">2026-03-21T00:16:00Z</dcterms:modified>
</cp:coreProperties>
</file>