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pBdr>
          <w:bottom w:val="single" w:color="2C2C2C" w:sz="18" w:space="1"/>
        </w:pBdr>
        <w:spacing w:after="0" w:before="1440"/>
      </w:pPr>
    </w:p>
    <w:p>
      <w:pPr>
        <w:spacing w:after="600" w:before="0"/>
      </w:pPr>
      <w:r>
        <w:rPr>
          <w:rFonts w:ascii="Garamond" w:cs="Garamond" w:eastAsia="Garamond" w:hAnsi="Garamond"/>
          <w:b w:val="false"/>
          <w:bCs w:val="false"/>
          <w:i w:val="false"/>
          <w:iCs w:val="false"/>
          <w:smallCaps w:val="false"/>
          <w:color w:val="1A1A1A"/>
          <w:sz w:val="22"/>
          <w:szCs w:val="22"/>
        </w:rPr>
        <w:t xml:space="preserve"/>
      </w:r>
    </w:p>
    <w:p>
      <w:pPr>
        <w:spacing w:after="60" w:before="0"/>
        <w:jc w:val="center"/>
      </w:pPr>
      <w:r>
        <w:rPr>
          <w:rFonts w:ascii="Garamond" w:cs="Garamond" w:eastAsia="Garamond" w:hAnsi="Garamond"/>
          <w:b/>
          <w:bCs/>
          <w:i w:val="false"/>
          <w:iCs w:val="false"/>
          <w:smallCaps/>
          <w:color w:val="1A1A1A"/>
          <w:sz w:val="64"/>
          <w:szCs w:val="64"/>
        </w:rPr>
        <w:t xml:space="preserve">PROJECT 52F</w:t>
      </w:r>
    </w:p>
    <w:p>
      <w:pPr>
        <w:spacing w:after="80" w:before="0"/>
        <w:jc w:val="center"/>
      </w:pPr>
      <w:r>
        <w:rPr>
          <w:rFonts w:ascii="Garamond" w:cs="Garamond" w:eastAsia="Garamond" w:hAnsi="Garamond"/>
          <w:b w:val="false"/>
          <w:bCs w:val="false"/>
          <w:i/>
          <w:iCs/>
          <w:smallCaps w:val="false"/>
          <w:color w:val="555555"/>
          <w:sz w:val="30"/>
          <w:szCs w:val="30"/>
        </w:rPr>
        <w:t xml:space="preserve">A Mathematical DeFi Protocol</w:t>
      </w:r>
    </w:p>
    <w:p>
      <w:pPr>
        <w:spacing w:after="500" w:before="0"/>
      </w:pPr>
      <w:r>
        <w:rPr>
          <w:rFonts w:ascii="Garamond" w:cs="Garamond" w:eastAsia="Garamond" w:hAnsi="Garamond"/>
          <w:b w:val="false"/>
          <w:bCs w:val="false"/>
          <w:i w:val="false"/>
          <w:iCs w:val="false"/>
          <w:smallCaps w:val="false"/>
          <w:color w:val="1A1A1A"/>
          <w:sz w:val="22"/>
          <w:szCs w:val="22"/>
        </w:rPr>
        <w:t xml:space="preserve"/>
      </w:r>
    </w:p>
    <w:p>
      <w:pPr>
        <w:spacing w:after="60" w:before="0"/>
        <w:jc w:val="center"/>
      </w:pPr>
      <w:r>
        <w:rPr>
          <w:rFonts w:ascii="Garamond" w:cs="Garamond" w:eastAsia="Garamond" w:hAnsi="Garamond"/>
          <w:b w:val="false"/>
          <w:bCs w:val="false"/>
          <w:i w:val="false"/>
          <w:iCs w:val="false"/>
          <w:smallCaps w:val="false"/>
          <w:color w:val="555555"/>
          <w:sz w:val="22"/>
          <w:szCs w:val="22"/>
        </w:rPr>
        <w:t xml:space="preserve">Whitepaper v2.0  ·  April 2026</w:t>
      </w:r>
    </w:p>
    <w:p>
      <w:pPr>
        <w:spacing w:after="60" w:before="0"/>
        <w:jc w:val="center"/>
      </w:pPr>
      <w:r>
        <w:rPr>
          <w:rFonts w:ascii="Garamond" w:cs="Garamond" w:eastAsia="Garamond" w:hAnsi="Garamond"/>
          <w:b w:val="false"/>
          <w:bCs w:val="false"/>
          <w:i w:val="false"/>
          <w:iCs w:val="false"/>
          <w:smallCaps w:val="false"/>
          <w:color w:val="555555"/>
          <w:sz w:val="20"/>
          <w:szCs w:val="20"/>
        </w:rPr>
        <w:t xml:space="preserve">QF Network  ·  Chain ID 3426  ·  Solidity 0.8.26 / PolkaVM</w:t>
      </w:r>
    </w:p>
    <w:p>
      <w:pPr>
        <w:spacing w:after="600" w:before="0"/>
      </w:pPr>
      <w:r>
        <w:rPr>
          <w:rFonts w:ascii="Garamond" w:cs="Garamond" w:eastAsia="Garamond" w:hAnsi="Garamond"/>
          <w:b w:val="false"/>
          <w:bCs w:val="false"/>
          <w:i w:val="false"/>
          <w:iCs w:val="false"/>
          <w:smallCaps w:val="false"/>
          <w:color w:val="1A1A1A"/>
          <w:sz w:val="22"/>
          <w:szCs w:val="22"/>
        </w:rPr>
        <w:t xml:space="preserve"/>
      </w:r>
    </w:p>
    <w:p>
      <w:pPr>
        <w:spacing w:after="40" w:before="0"/>
        <w:jc w:val="center"/>
      </w:pPr>
      <w:r>
        <w:rPr>
          <w:rFonts w:ascii="Garamond" w:cs="Garamond" w:eastAsia="Garamond" w:hAnsi="Garamond"/>
          <w:b/>
          <w:bCs/>
          <w:i w:val="false"/>
          <w:iCs w:val="false"/>
          <w:smallCaps w:val="false"/>
          <w:color w:val="1A1A1A"/>
          <w:sz w:val="52"/>
          <w:szCs w:val="52"/>
        </w:rPr>
        <w:t xml:space="preserve">80,658,175</w:t>
      </w:r>
    </w:p>
    <w:p>
      <w:pPr>
        <w:spacing w:after="40" w:before="0"/>
        <w:jc w:val="center"/>
      </w:pPr>
      <w:r>
        <w:rPr>
          <w:rFonts w:ascii="Garamond" w:cs="Garamond" w:eastAsia="Garamond" w:hAnsi="Garamond"/>
          <w:b w:val="false"/>
          <w:bCs w:val="false"/>
          <w:i w:val="false"/>
          <w:iCs w:val="false"/>
          <w:smallCaps w:val="false"/>
          <w:color w:val="555555"/>
          <w:sz w:val="24"/>
          <w:szCs w:val="24"/>
        </w:rPr>
        <w:t xml:space="preserve">tokens</w:t>
      </w:r>
    </w:p>
    <w:p>
      <w:pPr>
        <w:spacing w:after="160" w:before="0"/>
        <w:jc w:val="center"/>
      </w:pPr>
      <w:r>
        <w:rPr>
          <w:rFonts w:ascii="Garamond" w:cs="Garamond" w:eastAsia="Garamond" w:hAnsi="Garamond"/>
          <w:b w:val="false"/>
          <w:bCs w:val="false"/>
          <w:i/>
          <w:iCs/>
          <w:smallCaps w:val="false"/>
          <w:color w:val="555555"/>
          <w:sz w:val="20"/>
          <w:szCs w:val="20"/>
        </w:rPr>
        <w:t xml:space="preserve">The leading 8 digits of 52!</w:t>
      </w:r>
    </w:p>
    <w:p>
      <w:pPr>
        <w:spacing w:after="400" w:before="0"/>
      </w:pPr>
      <w:r>
        <w:rPr>
          <w:rFonts w:ascii="Garamond" w:cs="Garamond" w:eastAsia="Garamond" w:hAnsi="Garamond"/>
          <w:b w:val="false"/>
          <w:bCs w:val="false"/>
          <w:i w:val="false"/>
          <w:iCs w:val="false"/>
          <w:smallCaps w:val="false"/>
          <w:color w:val="1A1A1A"/>
          <w:sz w:val="22"/>
          <w:szCs w:val="22"/>
        </w:rPr>
        <w:t xml:space="preserve"/>
      </w:r>
    </w:p>
    <w:p>
      <w:pPr>
        <w:pBdr>
          <w:bottom w:val="single" w:color="2C2C2C" w:sz="8" w:space="1"/>
        </w:pBdr>
        <w:spacing w:after="0" w:before="0"/>
        <w:jc w:val="center"/>
      </w:pPr>
      <w:r>
        <w:rPr>
          <w:rFonts w:ascii="Garamond" w:cs="Garamond" w:eastAsia="Garamond" w:hAnsi="Garamond"/>
          <w:b w:val="false"/>
          <w:bCs w:val="false"/>
          <w:i/>
          <w:iCs/>
          <w:smallCaps w:val="false"/>
          <w:color w:val="1A1A1A"/>
          <w:sz w:val="24"/>
          <w:szCs w:val="24"/>
        </w:rPr>
        <w:t xml:space="preserve">The constants do the rest.</w:t>
      </w:r>
    </w:p>
    <w:p>
      <w:r>
        <w:br w:type="page"/>
      </w:r>
    </w:p>
    <w:p>
      <w:pPr>
        <w:keepNext/>
        <w:pBdr>
          <w:bottom w:val="single" w:color="2C2C2C" w:sz="8" w:space="1"/>
        </w:pBdr>
        <w:spacing w:after="240" w:before="0"/>
        <w:jc w:val="left"/>
      </w:pPr>
      <w:r>
        <w:rPr>
          <w:rFonts w:ascii="Garamond" w:cs="Garamond" w:eastAsia="Garamond" w:hAnsi="Garamond"/>
          <w:b/>
          <w:bCs/>
          <w:i w:val="false"/>
          <w:iCs w:val="false"/>
          <w:smallCaps/>
          <w:color w:val="1A1A1A"/>
          <w:sz w:val="28"/>
          <w:szCs w:val="28"/>
        </w:rPr>
        <w:t xml:space="preserve">CONTENTS</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  Introduction</w:t>
      </w:r>
      <w:r>
        <w:rPr>
          <w:rFonts w:ascii="Garamond" w:cs="Garamond" w:eastAsia="Garamond" w:hAnsi="Garamond"/>
          <w:sz w:val="20"/>
          <w:szCs w:val="20"/>
        </w:rPr>
        <w:t xml:space="preserve">	3</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2.  Founder</w:t>
      </w:r>
      <w:r>
        <w:rPr>
          <w:rFonts w:ascii="Garamond" w:cs="Garamond" w:eastAsia="Garamond" w:hAnsi="Garamond"/>
          <w:sz w:val="20"/>
          <w:szCs w:val="20"/>
        </w:rPr>
        <w:t xml:space="preserve">	3</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3.  The Mathematics of 52F</w:t>
      </w:r>
      <w:r>
        <w:rPr>
          <w:rFonts w:ascii="Garamond" w:cs="Garamond" w:eastAsia="Garamond" w:hAnsi="Garamond"/>
          <w:sz w:val="20"/>
          <w:szCs w:val="20"/>
        </w:rPr>
        <w:t xml:space="preserve">	4</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4.  Protocol Architecture</w:t>
      </w:r>
      <w:r>
        <w:rPr>
          <w:rFonts w:ascii="Garamond" w:cs="Garamond" w:eastAsia="Garamond" w:hAnsi="Garamond"/>
          <w:sz w:val="20"/>
          <w:szCs w:val="20"/>
        </w:rPr>
        <w:t xml:space="preserve">	5</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5.  Tokenomics</w:t>
      </w:r>
      <w:r>
        <w:rPr>
          <w:rFonts w:ascii="Garamond" w:cs="Garamond" w:eastAsia="Garamond" w:hAnsi="Garamond"/>
          <w:sz w:val="20"/>
          <w:szCs w:val="20"/>
        </w:rPr>
        <w:t xml:space="preserve">	5</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6.  Tax System</w:t>
      </w:r>
      <w:r>
        <w:rPr>
          <w:rFonts w:ascii="Garamond" w:cs="Garamond" w:eastAsia="Garamond" w:hAnsi="Garamond"/>
          <w:sz w:val="20"/>
          <w:szCs w:val="20"/>
        </w:rPr>
        <w:t xml:space="preserve">	7</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7.  The Great Drain</w:t>
      </w:r>
      <w:r>
        <w:rPr>
          <w:rFonts w:ascii="Garamond" w:cs="Garamond" w:eastAsia="Garamond" w:hAnsi="Garamond"/>
          <w:sz w:val="20"/>
          <w:szCs w:val="20"/>
        </w:rPr>
        <w:t xml:space="preserve">	8</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8.  DampenerVault — Autonomous Liquidity Engine</w:t>
      </w:r>
      <w:r>
        <w:rPr>
          <w:rFonts w:ascii="Garamond" w:cs="Garamond" w:eastAsia="Garamond" w:hAnsi="Garamond"/>
          <w:sz w:val="20"/>
          <w:szCs w:val="20"/>
        </w:rPr>
        <w:t xml:space="preserve">	9</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9.  CryptographicSequencer — Birthday Paradox Prizes</w:t>
      </w:r>
      <w:r>
        <w:rPr>
          <w:rFonts w:ascii="Garamond" w:cs="Garamond" w:eastAsia="Garamond" w:hAnsi="Garamond"/>
          <w:sz w:val="20"/>
          <w:szCs w:val="20"/>
        </w:rPr>
        <w:t xml:space="preserve">	10</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10.  Keeper Bot</w:t>
      </w:r>
      <w:r>
        <w:rPr>
          <w:rFonts w:ascii="Garamond" w:cs="Garamond" w:eastAsia="Garamond" w:hAnsi="Garamond"/>
          <w:sz w:val="20"/>
          <w:szCs w:val="20"/>
        </w:rPr>
        <w:t xml:space="preserve">	11</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11.  Phase Lifecycle</w:t>
      </w:r>
      <w:r>
        <w:rPr>
          <w:rFonts w:ascii="Garamond" w:cs="Garamond" w:eastAsia="Garamond" w:hAnsi="Garamond"/>
          <w:sz w:val="20"/>
          <w:szCs w:val="20"/>
        </w:rPr>
        <w:t xml:space="preserve">	12</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12.  Governance</w:t>
      </w:r>
      <w:r>
        <w:rPr>
          <w:rFonts w:ascii="Garamond" w:cs="Garamond" w:eastAsia="Garamond" w:hAnsi="Garamond"/>
          <w:sz w:val="20"/>
          <w:szCs w:val="20"/>
        </w:rPr>
        <w:t xml:space="preserve">	12</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13.  Security Considerations</w:t>
      </w:r>
      <w:r>
        <w:rPr>
          <w:rFonts w:ascii="Garamond" w:cs="Garamond" w:eastAsia="Garamond" w:hAnsi="Garamond"/>
          <w:sz w:val="20"/>
          <w:szCs w:val="20"/>
        </w:rPr>
        <w:t xml:space="preserve">	13</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14.  Deployment &amp; Infrastructure</w:t>
      </w:r>
      <w:r>
        <w:rPr>
          <w:rFonts w:ascii="Garamond" w:cs="Garamond" w:eastAsia="Garamond" w:hAnsi="Garamond"/>
          <w:sz w:val="20"/>
          <w:szCs w:val="20"/>
        </w:rPr>
        <w:t xml:space="preserve">	14</w:t>
      </w:r>
    </w:p>
    <w:p>
      <w:pPr>
        <w:tabs>
          <w:tab w:val="right" w:pos="9026" w:leader="dot"/>
        </w:tabs>
        <w:spacing w:after="100" w:before="0"/>
      </w:pPr>
      <w:r>
        <w:rPr>
          <w:rFonts w:ascii="Garamond" w:cs="Garamond" w:eastAsia="Garamond" w:hAnsi="Garamond"/>
          <w:b w:val="false"/>
          <w:bCs w:val="false"/>
          <w:i w:val="false"/>
          <w:iCs w:val="false"/>
          <w:smallCaps w:val="false"/>
          <w:color w:val="1A1A1A"/>
          <w:sz w:val="20"/>
          <w:szCs w:val="20"/>
        </w:rPr>
        <w:t xml:space="preserve">15.  Disclaimer</w:t>
      </w:r>
      <w:r>
        <w:rPr>
          <w:rFonts w:ascii="Garamond" w:cs="Garamond" w:eastAsia="Garamond" w:hAnsi="Garamond"/>
          <w:sz w:val="20"/>
          <w:szCs w:val="20"/>
        </w:rPr>
        <w:t xml:space="preserve">	15</w:t>
      </w:r>
    </w:p>
    <w:p>
      <w:r>
        <w:br w:type="pag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INTRODUCTION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is a decentralised finance protocol built on QF Network, a Substrate-based blockchain with 0.1-second block time and PolkaVM smart contract execution. The protocol introduces a token economy where every parameter, threshold, and mechanism is derived from mathematical constants — not arbitrary choices, not copy-pasted defaults, but values drawn from the fundamental constants of mathematics: 52 (the project's identity number), Euler's number e, the ratio of a circle's circumference to its diameter π, and √2.</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result is a DeFi protocol that operates as a self-reinforcing system. Tax revenue funds autonomous liquidity. Autonomous liquidity stabilises the floor. Floor stability enables a prize mechanism. The prize mechanism attracts volume. Volume generates tax revenue. Each component feeds the next.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This paper describes the three-contract architecture, the keeper bot that maintains it, the mathematical identity woven through every constant, and the economic mechanisms governing the protocol from launch through its long-term steady state.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52F is built on QF Network but is a distinct, independent protocol. QF Network is the infrastructure layer; 52F is an application built on top of it.</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2</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FOUNDER</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is built by a single founder — a British mathematician and educator who returned to university in his late thirties, three years into sobriety, to master the mathematics he now teaches at higher education level. He has no formal software development background.</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protocol was built using AI-assisted development and a deep understanding of the underlying mathematics. This is not a venture-backed project with a development team, a marketing department, and a treasury. It is one person, a set of mathematical constants, and the question of whether a protocol can be made structurally resistant to snipers, rug pulls, and founder trust risk from first principles — with minimal funding and no team.</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design reflects this constraint. Every mechanism that would normally require ongoing human judgement has been replaced with a mathematical rule. Tax rates are derived from constants, not set by governance. Liquidity management is autonomous, not discretionary. The prize system runs on probability theory, not administrative intervention. The founder's vesting allocation is locked in contract bytecode with no override.</w:t>
      </w:r>
    </w:p>
    <w:p>
      <w:pPr>
        <w:pBdr>
          <w:left w:val="single" w:color="2C2C2C" w:sz="12" w:space="8"/>
        </w:pBdr>
        <w:spacing w:after="200" w:before="200"/>
        <w:ind w:left="720" w:right="720"/>
        <w:jc w:val="both"/>
      </w:pPr>
      <w:r>
        <w:rPr>
          <w:rFonts w:ascii="Garamond" w:cs="Garamond" w:eastAsia="Garamond" w:hAnsi="Garamond"/>
          <w:b w:val="false"/>
          <w:bCs w:val="false"/>
          <w:i/>
          <w:iCs/>
          <w:smallCaps w:val="false"/>
          <w:color w:val="555555"/>
          <w:sz w:val="21"/>
          <w:szCs w:val="21"/>
        </w:rPr>
        <w:t xml:space="preserve">The constants do the rest.</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3</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THE MATHEMATICS OF 52F</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Most DeFi protocols choose their parameters arbitrarily — a 3% tax here, a 5% fee there, a round-number supply. Project 52F rejects this approach entirely. Every numerical parameter in the protocol is derived from one of four mathematical constants, creating a system where the numbers are not decorative but definitional.</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3.1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The Four Constants</w:t>
      </w:r>
    </w:p>
    <w:p>
      <w:pPr>
        <w:keepNext/>
        <w:spacing w:after="60" w:before="220"/>
      </w:pPr>
      <w:r>
        <w:rPr>
          <w:rFonts w:ascii="Garamond" w:cs="Garamond" w:eastAsia="Garamond" w:hAnsi="Garamond"/>
          <w:b/>
          <w:bCs/>
          <w:i w:val="false"/>
          <w:iCs w:val="false"/>
          <w:smallCaps w:val="false"/>
          <w:color w:val="1A1A1A"/>
          <w:sz w:val="22"/>
          <w:szCs w:val="22"/>
        </w:rPr>
        <w:t xml:space="preserve">52 — The Identity Number</w:t>
      </w:r>
    </w:p>
    <w:p>
      <w:pPr>
        <w:spacing w:after="160" w:before="0"/>
        <w:jc w:val="both"/>
      </w:pPr>
      <w:r>
        <w:rPr>
          <w:rFonts w:ascii="Garamond" w:cs="Garamond" w:eastAsia="Garamond" w:hAnsi="Garamond"/>
          <w:b w:val="false"/>
          <w:bCs w:val="false"/>
          <w:i w:val="false"/>
          <w:iCs w:val="false"/>
          <w:smallCaps w:val="false"/>
          <w:color w:val="1A1A1A"/>
          <w:sz w:val="22"/>
          <w:szCs w:val="22"/>
        </w:rPr>
        <w:t xml:space="preserve">52 is the project's fundamental unit of identity. The total token supply is the leading 8 digits of 52! (80,658,175). Epochs in the prize system hold exactly 52 entries. Vesting releases across 52 tranches. Anti-sniper zones span multiples of 5,200 blocks (52 × 100). The Great Drain threshold is 520,000 tokens (52 × 10,000). This number provides a rich factorial for supply derivation and factors cleanly into the block-based timing system.</w:t>
      </w:r>
    </w:p>
    <w:p>
      <w:pPr>
        <w:keepNext/>
        <w:spacing w:after="60" w:before="220"/>
      </w:pPr>
      <w:r>
        <w:rPr>
          <w:rFonts w:ascii="Garamond" w:cs="Garamond" w:eastAsia="Garamond" w:hAnsi="Garamond"/>
          <w:b/>
          <w:bCs/>
          <w:i w:val="false"/>
          <w:iCs w:val="false"/>
          <w:smallCaps w:val="false"/>
          <w:color w:val="1A1A1A"/>
          <w:sz w:val="22"/>
          <w:szCs w:val="22"/>
        </w:rPr>
        <w:t xml:space="preserve">e (Euler's Number, ≈ 2.718) — Buy-Side Tax</w:t>
      </w:r>
    </w:p>
    <w:p>
      <w:pPr>
        <w:spacing w:after="160" w:before="0"/>
        <w:jc w:val="both"/>
      </w:pPr>
      <w:r>
        <w:rPr>
          <w:rFonts w:ascii="Garamond" w:cs="Garamond" w:eastAsia="Garamond" w:hAnsi="Garamond"/>
          <w:b w:val="false"/>
          <w:bCs w:val="false"/>
          <w:i w:val="false"/>
          <w:iCs w:val="false"/>
          <w:smallCaps w:val="false"/>
          <w:color w:val="1A1A1A"/>
          <w:sz w:val="22"/>
          <w:szCs w:val="22"/>
        </w:rPr>
        <w:t xml:space="preserve">The steady-state buy tax is 272 basis points, derived from the leading three significant digits of e (2.718… → 272 BPS, with rounding to preserve integer arithmetic). Euler's number governs exponential growth and continuous compounding — fitting for a tax that funds the prize pool, the mechanism designed to attract and compound participation.</w:t>
      </w:r>
    </w:p>
    <w:p>
      <w:pPr>
        <w:keepNext/>
        <w:spacing w:after="60" w:before="220"/>
      </w:pPr>
      <w:r>
        <w:rPr>
          <w:rFonts w:ascii="Garamond" w:cs="Garamond" w:eastAsia="Garamond" w:hAnsi="Garamond"/>
          <w:b/>
          <w:bCs/>
          <w:i w:val="false"/>
          <w:iCs w:val="false"/>
          <w:smallCaps w:val="false"/>
          <w:color w:val="1A1A1A"/>
          <w:sz w:val="22"/>
          <w:szCs w:val="22"/>
        </w:rPr>
        <w:t xml:space="preserve">π (Pi, ≈ 3.14159) — Sell-Side Tax</w:t>
      </w:r>
    </w:p>
    <w:p>
      <w:pPr>
        <w:spacing w:after="160" w:before="0"/>
        <w:jc w:val="both"/>
      </w:pPr>
      <w:r>
        <w:rPr>
          <w:rFonts w:ascii="Garamond" w:cs="Garamond" w:eastAsia="Garamond" w:hAnsi="Garamond"/>
          <w:b w:val="false"/>
          <w:bCs w:val="false"/>
          <w:i w:val="false"/>
          <w:iCs w:val="false"/>
          <w:smallCaps w:val="false"/>
          <w:color w:val="1A1A1A"/>
          <w:sz w:val="22"/>
          <w:szCs w:val="22"/>
        </w:rPr>
        <w:t xml:space="preserve">The steady-state sell tax is 314 basis points, from the leading three significant digits of π. Pi is the ratio of circumference to diameter — inherently cyclical. Sells feed the DampenerVault, which operates as the protocol's circular defence mechanism: absorbing sell pressure, converting it to liquidity, and returning it to the pool as permanent structural support.</w:t>
      </w:r>
    </w:p>
    <w:p>
      <w:pPr>
        <w:keepNext/>
        <w:spacing w:after="60" w:before="220"/>
      </w:pPr>
      <w:r>
        <w:rPr>
          <w:rFonts w:ascii="Garamond" w:cs="Garamond" w:eastAsia="Garamond" w:hAnsi="Garamond"/>
          <w:b/>
          <w:bCs/>
          <w:i w:val="false"/>
          <w:iCs w:val="false"/>
          <w:smallCaps w:val="false"/>
          <w:color w:val="1A1A1A"/>
          <w:sz w:val="22"/>
          <w:szCs w:val="22"/>
        </w:rPr>
        <w:t xml:space="preserve">√2 (≈ 1.41421) — Structural Ratios</w:t>
      </w:r>
    </w:p>
    <w:p>
      <w:pPr>
        <w:spacing w:after="160" w:before="0"/>
        <w:jc w:val="both"/>
      </w:pPr>
      <w:r>
        <w:rPr>
          <w:rFonts w:ascii="Garamond" w:cs="Garamond" w:eastAsia="Garamond" w:hAnsi="Garamond"/>
          <w:b w:val="false"/>
          <w:bCs w:val="false"/>
          <w:i w:val="false"/>
          <w:iCs w:val="false"/>
          <w:smallCaps w:val="false"/>
          <w:color w:val="1A1A1A"/>
          <w:sz w:val="22"/>
          <w:szCs w:val="22"/>
        </w:rPr>
        <w:t xml:space="preserve">The founder's vesting allocation is 12.077% of total supply, derived from √2 × π × e. The square root of 2 is the ratio of a square's diagonal to its side — the constant that connects orthogonal dimensions, binding the other three constants into a single allocation figure.</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3.2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Why This Matters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Mathematical derivation serves three practical purposes. First, it eliminates the "why this number?" question that plagues arbitrary-parameter protocols — every value traces back to a published constant. Second, it makes the protocol's parameters independently verifiable: any holder with a scientific calculator can confirm that 272 BPS derives from e, that 314 BPS derives from π, that 80,658,175 is the leading digits of 52!. Third, it constrains the design space usefully — when every parameter must derive from a constant, there is no temptation to introduce a convenient round number.</w:t>
      </w:r>
    </w:p>
    <w:p>
      <w:pPr>
        <w:pBdr>
          <w:left w:val="single" w:color="2C2C2C" w:sz="12" w:space="8"/>
        </w:pBdr>
        <w:spacing w:after="200" w:before="200"/>
        <w:ind w:left="720" w:right="720"/>
        <w:jc w:val="both"/>
      </w:pPr>
      <w:r>
        <w:rPr>
          <w:rFonts w:ascii="Garamond" w:cs="Garamond" w:eastAsia="Garamond" w:hAnsi="Garamond"/>
          <w:b w:val="false"/>
          <w:bCs w:val="false"/>
          <w:i/>
          <w:iCs/>
          <w:smallCaps w:val="false"/>
          <w:color w:val="555555"/>
          <w:sz w:val="21"/>
          <w:szCs w:val="21"/>
        </w:rPr>
        <w:t xml:space="preserve">Every numerical constant in Project 52F can be independently verified by any holder with a scientific calculator. The protocol's parameters are mathematical facts, not governance decisions.</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4</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PROTOCOL ARCHITECTURE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is implemented as three smart contracts and a keeper bot. The smart contracts handle token logic, liquidity management, and prize distribution. The keeper bot maintains them by calling permissionless maintenance functions at regular intervals.</w:t>
      </w:r>
    </w:p>
    <w:p>
      <w:pPr>
        <w:spacing w:after="12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Component</w:t>
            </w:r>
          </w:p>
        </w:tc>
        <w:tc>
          <w:tcPr>
            <w:tcW w:type="dxa" w:w="16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Type</w:t>
            </w:r>
          </w:p>
        </w:tc>
        <w:tc>
          <w:tcPr>
            <w:tcW w:type="dxa" w:w="52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Key Responsibility</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TokenEngine</w:t>
            </w:r>
          </w:p>
        </w:tc>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Solidity contract</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ERC-20 token, tax routing, Great Drain, vesting, TWAP oracle, team wallet</w:t>
            </w:r>
          </w:p>
        </w:tc>
      </w:tr>
      <w:tr>
        <w:tc>
          <w:tcPr>
            <w:tcW w:type="dxa" w:w="22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DampenerVault</w:t>
            </w:r>
          </w:p>
        </w:tc>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Solidity contract</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Floor injection, sell-into-strength, emergency mode, permanent LP lock</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CryptographicSequencer</w:t>
            </w:r>
          </w:p>
        </w:tc>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Solidity contract</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Birthday Paradox epochs, collision detection, winner payouts</w:t>
            </w:r>
          </w:p>
        </w:tc>
      </w:tr>
      <w:tr>
        <w:tc>
          <w:tcPr>
            <w:tcW w:type="dxa" w:w="22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Keeper Bot</w:t>
            </w:r>
          </w:p>
        </w:tc>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Off-chain script</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TWAP snapshots, drain checks, injection triggers, sell-into-strength triggers</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three smart contracts are written in Solidity 0.8.26 and compiled with resolc, the PolkaVM-compatible Solidity compiler. The codebase contains zero inline assembly. An assembly-free AMM (MinimalDEX) was built for development and testing; in production the protocol integrates with the Nucleus X DEX.</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4.1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Information Flow</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Every buy and sell transaction passes through TokenEngine, which calculates and routes tax to the appropriate destination. DampenerVault receives sell-side tax and uses it autonomously to maintain liquidity depth. CryptographicSequencer receives buy-side prize allocations and distributes them through a probabilistic collision mechanism.</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TokenEngine is intentionally agnostic to the internal mechanics of both satellite contracts. It sends funds according to fixed BPS allocations and does not need to know how those funds are subsequently used. This separation means that either satellite contract could be upgraded without modifying TokenEngine's core logic.</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5</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TOKENOMICS</w:t>
      </w:r>
    </w:p>
    <w:p>
      <w:pPr>
        <w:keepNext/>
        <w:spacing w:after="80" w:before="280"/>
        <w:jc w:val="left"/>
      </w:pPr>
      <w:r>
        <w:rPr>
          <w:rFonts w:ascii="Garamond" w:cs="Garamond" w:eastAsia="Garamond" w:hAnsi="Garamond"/>
          <w:b/>
          <w:bCs/>
          <w:i w:val="false"/>
          <w:iCs w:val="false"/>
          <w:smallCaps w:val="false"/>
          <w:color w:val="555555"/>
          <w:sz w:val="22"/>
          <w:szCs w:val="22"/>
        </w:rPr>
        <w:t xml:space="preserve">5.1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Supply</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Allocation</w:t>
            </w:r>
          </w:p>
        </w:tc>
        <w:tc>
          <w:tcPr>
            <w:tcW w:type="dxa" w:w="3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Tokens</w:t>
            </w:r>
          </w:p>
        </w:tc>
        <w:tc>
          <w:tcPr>
            <w:tcW w:type="dxa" w:w="30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 of Supply</w:t>
            </w:r>
          </w:p>
        </w:tc>
      </w:tr>
      <w:tr>
        <w:tc>
          <w:tcPr>
            <w:tcW w:type="dxa" w:w="3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Initial LP seed (10% of total)</w:t>
            </w:r>
          </w:p>
        </w:tc>
        <w:tc>
          <w:tcPr>
            <w:tcW w:type="dxa" w:w="3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8,065,817</w:t>
            </w:r>
          </w:p>
        </w:tc>
        <w:tc>
          <w:tcPr>
            <w:tcW w:type="dxa" w:w="30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10.000%</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Protocol engine reserve</w:t>
            </w:r>
          </w:p>
        </w:tc>
        <w:tc>
          <w:tcPr>
            <w:tcW w:type="dxa" w:w="3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62,851,264</w:t>
            </w:r>
          </w:p>
        </w:tc>
        <w:tc>
          <w:tcPr>
            <w:tcW w:type="dxa" w:w="30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77.923%</w:t>
            </w:r>
          </w:p>
        </w:tc>
      </w:tr>
      <w:tr>
        <w:tc>
          <w:tcPr>
            <w:tcW w:type="dxa" w:w="3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Founder vesting vault</w:t>
            </w:r>
          </w:p>
        </w:tc>
        <w:tc>
          <w:tcPr>
            <w:tcW w:type="dxa" w:w="3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9,741,094</w:t>
            </w:r>
          </w:p>
        </w:tc>
        <w:tc>
          <w:tcPr>
            <w:tcW w:type="dxa" w:w="30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12.077%</w:t>
            </w:r>
          </w:p>
        </w:tc>
      </w:tr>
      <w:tr>
        <w:tc>
          <w:tcPr>
            <w:tcW w:type="dxa" w:w="3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Total supply (fixed)</w:t>
            </w:r>
          </w:p>
        </w:tc>
        <w:tc>
          <w:tcPr>
            <w:tcW w:type="dxa" w:w="3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80,658,175</w:t>
            </w:r>
          </w:p>
        </w:tc>
        <w:tc>
          <w:tcPr>
            <w:tcW w:type="dxa" w:w="30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1A1A1A"/>
                <w:sz w:val="19"/>
                <w:szCs w:val="19"/>
              </w:rPr>
              <w:t xml:space="preserve">100.000%</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total supply of 80,658,175 tokens is the leading 8 digits of 52!. This supply is minted at deployment and is permanently fixed — there is no mint function, no inflation mechanism, and no governance pathway to increase supply.</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At launch, 10% of total supply is paired with 41,600 QF as the initial liquidity seed. The remaining circulating supply (62,851,264 tokens) is held in the TokenEngine as a protocol-owned reserve, available exclusively to the DampenerVault for liquidity operations. The founder's wallet holds zero tokens at launch.</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5.2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Vesting</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founder allocation of 12.077% (derived from √2 × π × e) vests across 52 tranches, one every 5,200,000 blocks (approximately 6 days). Each tranche releases 187,328 tokens, with 38 tokens of dust added to the final tranche to ensure the vault empties exactly. The total vesting duration is approximately 10.4 months.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 vesting-aware guard in pull52fReserve() ensures the DampenerVault can never withdraw tokens that back the vesting allocation. The engine reserve and vesting pool share the same balance slot but are mathematically separated by the invariant: _balances[address(this)] − amount ≥ vestingVault at all times.</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5.3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Founder Loan — Removed by Design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carries no founder loan. The 75 BPS team tax on every transaction provides ongoing operational revenue from block zero, eliminating the need for the team to sell vested tokens. This removes the single largest source of predictable sell pressure in early-stage DeFi protocols.</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5.4</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Seed Liquidity</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At deployment, the founder transfers the entire engine reserve (62,851,264 tokens) to the TokenEngine via seedTransfer(), then creates the trading pair with a dust amount (1 QF paired with 193 tokens) to pin the initial price ratio. The DampenerVault's one-time bootstrap function is called in two stages: a small test bootstrap (100 QF) to verify the mechanism, followed by the full bootstrap (51,900 QF).</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LP tokens are transferred directly to the dead address (0x000…dEaD) inside every _addLiquidity() call. Since the dead address has no private key, this liquidity is permanently locked from the moment of creation — stronger than any timelock.</w:t>
      </w:r>
    </w:p>
    <w:p>
      <w:pPr>
        <w:spacing w:after="10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Parameter</w:t>
            </w:r>
          </w:p>
        </w:tc>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Value</w:t>
            </w:r>
          </w:p>
        </w:tc>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
            </w:r>
          </w:p>
        </w:tc>
        <w:tc>
          <w:tcPr>
            <w:tcW w:type="dxa" w:w="22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
            </w:r>
          </w:p>
        </w:tc>
      </w:tr>
      <w:tr>
        <w:tc>
          <w:tcPr>
            <w:tcW w:type="dxa" w:w="28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Total launch capital</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52,000 QF</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c>
          <w:tcPr>
            <w:tcW w:type="dxa" w:w="2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Initial LP (QF)</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~41,600 QF</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80%</w:t>
            </w:r>
          </w:p>
        </w:tc>
        <w:tc>
          <w:tcPr>
            <w:tcW w:type="dxa" w:w="2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r>
        <w:tc>
          <w:tcPr>
            <w:tcW w:type="dxa" w:w="28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Dampener operating reserve (QF)</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~10,400 QF</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20%</w:t>
            </w:r>
          </w:p>
        </w:tc>
        <w:tc>
          <w:tcPr>
            <w:tcW w:type="dxa" w:w="2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Initial LP (52F)</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8,065,817 tokens</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 of supply</w:t>
            </w:r>
          </w:p>
        </w:tc>
        <w:tc>
          <w:tcPr>
            <w:tcW w:type="dxa" w:w="2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r>
        <w:tc>
          <w:tcPr>
            <w:tcW w:type="dxa" w:w="28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Engine reserve at launch (52F)</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62,851,264 tokens</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77.92% of supply</w:t>
            </w:r>
          </w:p>
        </w:tc>
        <w:tc>
          <w:tcPr>
            <w:tcW w:type="dxa" w:w="2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Founder wallet at launch</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0 tokens</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c>
          <w:tcPr>
            <w:tcW w:type="dxa" w:w="2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
            </w:r>
          </w:p>
        </w:tc>
      </w:tr>
    </w:tbl>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6</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TAX SYSTEM</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Every transaction involving 52F incurs a tax, calculated in basis points (BPS, where 10,000 BPS = 100%). The tax rate varies by transaction direction (buy or sell) and by the protocol's current phase. One invariant holds across all phases, all directions, and all conditions:</w:t>
      </w:r>
    </w:p>
    <w:p>
      <w:pPr>
        <w:pBdr>
          <w:left w:val="single" w:color="2C2C2C" w:sz="12" w:space="8"/>
        </w:pBdr>
        <w:spacing w:after="200" w:before="200"/>
        <w:ind w:left="720" w:right="720"/>
        <w:jc w:val="both"/>
      </w:pPr>
      <w:r>
        <w:rPr>
          <w:rFonts w:ascii="Garamond" w:cs="Garamond" w:eastAsia="Garamond" w:hAnsi="Garamond"/>
          <w:b w:val="false"/>
          <w:bCs w:val="false"/>
          <w:i/>
          <w:iCs/>
          <w:smallCaps w:val="false"/>
          <w:color w:val="555555"/>
          <w:sz w:val="21"/>
          <w:szCs w:val="21"/>
        </w:rPr>
        <w:t xml:space="preserve">75 BPS is routed to the team wallet on every transaction, in every phase, with no exceptions. This is carved from the headline rate, not added on top of it.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6.1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Steady-State Rates (Hardening &amp; Scarcity)</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1526"/>
      </w:tblGrid>
      <w:tr>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Direction</w:t>
            </w:r>
          </w:p>
        </w:tc>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Total Tax</w:t>
            </w:r>
          </w:p>
        </w:tc>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Prize Pot</w:t>
            </w:r>
          </w:p>
        </w:tc>
        <w:tc>
          <w:tcPr>
            <w:tcW w:type="dxa" w:w="15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Dampener</w:t>
            </w:r>
          </w:p>
        </w:tc>
        <w:tc>
          <w:tcPr>
            <w:tcW w:type="dxa" w:w="15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Team</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Buy (e)</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272 BPS</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197 BPS</w:t>
            </w:r>
          </w:p>
        </w:tc>
        <w:tc>
          <w:tcPr>
            <w:tcW w:type="dxa" w:w="15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0 BPS</w:t>
            </w:r>
          </w:p>
        </w:tc>
        <w:tc>
          <w:tcPr>
            <w:tcW w:type="dxa" w:w="15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75 BPS</w:t>
            </w:r>
          </w:p>
        </w:tc>
      </w:tr>
      <w:tr>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Sell (π)</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314 BPS</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0 BPS</w:t>
            </w:r>
          </w:p>
        </w:tc>
        <w:tc>
          <w:tcPr>
            <w:tcW w:type="dxa" w:w="15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239 BPS</w:t>
            </w:r>
          </w:p>
        </w:tc>
        <w:tc>
          <w:tcPr>
            <w:tcW w:type="dxa" w:w="15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75 BPS</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asymmetry is intentional. Buys fund the prize pot, incentivising purchase volume. Sells fund the DampenerVault, which converts sell-side revenue into permanent liquidity — directly counteracting the price impact of the sells that generated it.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Arithmetic verification:  Buy 197 + 0 + 75 = 272  ✓     Sell 0 + 239 + 75 = 314  ✓</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6.2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Anti-Sniper Zones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first 10,400 blocks after trading is enabled (approximately 17 minutes) operate under elevated tax rates designed to prevent sniper bots from front-running the launch.</w:t>
      </w:r>
    </w:p>
    <w:p>
      <w:pPr>
        <w:keepNext/>
        <w:spacing w:after="40" w:before="160"/>
      </w:pPr>
      <w:r>
        <w:rPr>
          <w:rFonts w:ascii="Garamond" w:cs="Garamond" w:eastAsia="Garamond" w:hAnsi="Garamond"/>
          <w:b/>
          <w:bCs/>
          <w:i w:val="false"/>
          <w:iCs w:val="false"/>
          <w:smallCaps w:val="false"/>
          <w:color w:val="1A1A1A"/>
          <w:sz w:val="22"/>
          <w:szCs w:val="22"/>
        </w:rPr>
        <w:t xml:space="preserve">Zone A (Blocks 0–5,200  ·  ~8.7 minutes)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All transactions incur 9,500 BPS (95%) tax. Of this, 9,425 BPS flows to the DampenerVault and 75 BPS to the team. This phase serves a dual purpose: it deters snipers through punitive taxation while simultaneously capitalising the DampenerVault with a significant portion of its long-term operating funds.</w:t>
      </w:r>
    </w:p>
    <w:p>
      <w:pPr>
        <w:keepNext/>
        <w:spacing w:after="40" w:before="160"/>
      </w:pPr>
      <w:r>
        <w:rPr>
          <w:rFonts w:ascii="Garamond" w:cs="Garamond" w:eastAsia="Garamond" w:hAnsi="Garamond"/>
          <w:b/>
          <w:bCs/>
          <w:i w:val="false"/>
          <w:iCs w:val="false"/>
          <w:smallCaps w:val="false"/>
          <w:color w:val="1A1A1A"/>
          <w:sz w:val="22"/>
          <w:szCs w:val="22"/>
        </w:rPr>
        <w:t xml:space="preserve">Zone B (Blocks 5,200–10,400  ·  ~8.7 minutes)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Zone B applies a stepwise decay δ(b) = ⌊(b − 5200) / 104⌋ · 100 basis points to the Zone A rate of 9,500 BPS. The decay reaches its maximum of 4,900 BPS at b = 10,399, yielding an end-of-Zone-B rate of 4,600 BPS for both buy and sell sides. At b = 10,400 the schedule transitions discontinuously to (e, π) = (272, 314) BPS — the Hardening baseline rates for buy and sell respectively. The transition is structural rather than asymptotic: the floor clauses in the Zone B helpers are dead code at current parameters, and the rate does not glide to baseline within Zone B. Team allocation remains at 75 BPS throughout.</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7</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THE GREAT DRAIN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Great Drain is the protocol's primary mechanism for converting accumulated prize-pot QF into structural liquidity or deflationary pressure, depending on the protocol's phase and health.</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7.1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Trigger</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Drain fires when the prize pot accumulates QF equivalent to 520,000 tokens (52 × 10,000) multiplied by the current TWAP. At low token prices, this threshold is small in absolute QF terms and fires frequently. This self-scaling behaviour is intentional: frequent drains at low prices build liquidity aggressively when it matters most.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7.2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Seizure and Routing</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Each Drain event seizes 50% of the prize pot (5,000 BPS). The remaining 50% stays in the pot and continues accumulating toward the next trigger.</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Phase</w:t>
            </w:r>
          </w:p>
        </w:tc>
        <w:tc>
          <w:tcPr>
            <w:tcW w:type="dxa" w:w="24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Condition</w:t>
            </w:r>
          </w:p>
        </w:tc>
        <w:tc>
          <w:tcPr>
            <w:tcW w:type="dxa" w:w="42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Action</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Hardening</w:t>
            </w:r>
          </w:p>
        </w:tc>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Always</w:t>
            </w:r>
          </w:p>
        </w:tc>
        <w:tc>
          <w:tcPr>
            <w:tcW w:type="dxa" w:w="4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100% of seized QF routed to DampenerVault for addLiquidity</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Scarcity</w:t>
            </w:r>
          </w:p>
        </w:tc>
        <w:tc>
          <w:tcPr>
            <w:tcW w:type="dxa" w:w="24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LP ratio ≥ 23%</w:t>
            </w:r>
          </w:p>
        </w:tc>
        <w:tc>
          <w:tcPr>
            <w:tcW w:type="dxa" w:w="4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50% buys and burns 52F to dead address; 50% QF sent to dead address</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Scarcity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LP ratio &lt; 23%</w:t>
            </w:r>
          </w:p>
        </w:tc>
        <w:tc>
          <w:tcPr>
            <w:tcW w:type="dxa" w:w="4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100% routed to addLiquidity (health check overrides burn)</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health check is critical. In the Scarcity phase, burning QF when liquidity is thin would destroy the protocol's market structure. The 23% LP ratio threshold ensures that the burn mechanism only activates when the protocol can absorb the deflationary pressure without destabilising the trading pair.</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7.3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Cooldown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 minimum of 5,200 blocks must pass between consecutive Drain events, with an additional random offset of 0–519 blocks derived from blockhash entropy. The randomisation prevents attackers from predicting the exact block at which a Drain will fire. The cooldown state variable (nextDrainBlock) is updated before any external calls.</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7.4</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Self-Scaling Economics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Drain creates a positive feedback loop: low price produces a low threshold, which triggers frequent drains, which builds LP, which supports price, which raises the threshold, which allows larger prize pots. The system finds its own equilibrium without governance intervention.</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8</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DAMPENERVAULT — AUTONOMOUS LIQUIDITY ENGINE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DampenerVault is a three-strategy autonomous liquidity engine. It receives funds from sell-side tax (239 BPS) and from Great Drain events, then deploys those funds to maintain and deepen the protocol's liquidity.</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826"/>
      </w:tblGrid>
      <w:tr>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Strategy</w:t>
            </w:r>
          </w:p>
        </w:tc>
        <w:tc>
          <w:tcPr>
            <w:tcW w:type="dxa" w:w="24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Trigger</w:t>
            </w:r>
          </w:p>
        </w:tc>
        <w:tc>
          <w:tcPr>
            <w:tcW w:type="dxa" w:w="28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Action</w:t>
            </w:r>
          </w:p>
        </w:tc>
        <w:tc>
          <w:tcPr>
            <w:tcW w:type="dxa" w:w="18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Phase</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Floor Injection</w:t>
            </w:r>
          </w:p>
        </w:tc>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LP ratio &lt; 23%</w:t>
            </w:r>
          </w:p>
        </w:tc>
        <w:tc>
          <w:tcPr>
            <w:tcW w:type="dxa" w:w="28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Pair QF with engine 52F (Hardening) or market buy (Scarcity) → permanent LP</w:t>
            </w:r>
          </w:p>
        </w:tc>
        <w:tc>
          <w:tcPr>
            <w:tcW w:type="dxa" w:w="18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All phases</w:t>
            </w:r>
          </w:p>
        </w:tc>
      </w:tr>
      <w:tr>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Drain Routing</w:t>
            </w:r>
          </w:p>
        </w:tc>
        <w:tc>
          <w:tcPr>
            <w:tcW w:type="dxa" w:w="24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Great Drain fires (Hardening)</w:t>
            </w:r>
          </w:p>
        </w:tc>
        <w:tc>
          <w:tcPr>
            <w:tcW w:type="dxa" w:w="28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100% seized QF added as LP</w:t>
            </w:r>
          </w:p>
        </w:tc>
        <w:tc>
          <w:tcPr>
            <w:tcW w:type="dxa" w:w="18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Hardening only</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Sell-Into-Strength</w:t>
            </w:r>
          </w:p>
        </w:tc>
        <w:tc>
          <w:tcPr>
            <w:tcW w:type="dxa" w:w="2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Spot &gt; TWAP by 18–25.9%</w:t>
            </w:r>
          </w:p>
        </w:tc>
        <w:tc>
          <w:tcPr>
            <w:tcW w:type="dxa" w:w="28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Sell small 52F into pump → proceeds to permanent LP</w:t>
            </w:r>
          </w:p>
        </w:tc>
        <w:tc>
          <w:tcPr>
            <w:tcW w:type="dxa" w:w="18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Scarcity only</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8.1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Floor Injection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When the ratio of LP value to market capitalisation falls below 23%, the vault activates floor injection. The mode depends on the protocol's phase and the severity of the ratio breach.</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During Hardening, the vault pulls 52F directly from the TokenEngine reserve and pairs it with the full QF injection amount — avoiding market buys entirely. Scarce QF is paired directly with the abundant engine reserve, maximising LP depth per unit of QF deployed.</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During Scarcity, normal mode (ratio between 10% and 23%) uses 50% of available funds to market-buy 52F and pairs the other 50% with that purchase. Emergency mode (ratio below 10%) reverts to the direct engine pull regardless of phase — a defensive posture that prioritises LP depth over price impact.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Each injection is capped at 10% of the vault's balance per trigger. A randomised cooldown of approximately 1 to 1.2 hours prevents rapid-fire injections and makes timing unpredictable.</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8.2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Sell-Into-Strength</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This mechanism activates exclusively in the Scarcity phase (after block 26,000,000). When speculative buying pushes the spot price 18–25.9% above the TWAP, the DampenerVault sells a precisely calculated quantity of 52F into the pump.</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sell quantity is derived from the AMM constant product formula: the exact amount of 52F that produces a randomised price impact between 1.5% and 2.4%. This is mathematically self-limiting — the formula constrains sell size relative to pool depth. A shallow pool produces a tiny sell; a deep pool allows a larger sell.</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All QF proceeds are immediately paired with remaining 52F and added as permanent liquidity. The mechanism does not extract value — it converts excess volatility into floor depth.</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8.3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Permanent Liquidity</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All LP tokens received by the DampenerVault are permanently locked. LP tokens from every injection and sell-into-strength event are transferred to the dead address immediately upon receipt. There is no withdrawal function, no governance override, and no mechanism by which LP tokens can leave the vault.</w:t>
      </w:r>
    </w:p>
    <w:p>
      <w:pPr>
        <w:pBdr>
          <w:left w:val="single" w:color="2C2C2C" w:sz="12" w:space="8"/>
        </w:pBdr>
        <w:spacing w:after="200" w:before="200"/>
        <w:ind w:left="720" w:right="720"/>
        <w:jc w:val="both"/>
      </w:pPr>
      <w:r>
        <w:rPr>
          <w:rFonts w:ascii="Garamond" w:cs="Garamond" w:eastAsia="Garamond" w:hAnsi="Garamond"/>
          <w:b w:val="false"/>
          <w:bCs w:val="false"/>
          <w:i/>
          <w:iCs/>
          <w:smallCaps w:val="false"/>
          <w:color w:val="555555"/>
          <w:sz w:val="21"/>
          <w:szCs w:val="21"/>
        </w:rPr>
        <w:t xml:space="preserve">You cannot call a withdrawal function that does not exist. Mathematical permanence is stronger than any timelock.</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9</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CRYPTOGRAPHICSEQUENCER — BIRTHDAY PARADOX PRIZES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CryptographicSequencer implements a probabilistic prize system based on the birthday paradox — the counterintuitive result that in a group of just 23 people, there is greater than 50% probability that two share a birthday. Project 52F exploits this principle with 52 entries across a space of 1,000 possible IDs, producing a collision probability of approximately 74% per epoch.</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9.1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Epoch Lifecycle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Each epoch accepts up to 52 entries. Any buy of at least 52,000 tokens qualifies the buyer for entry. Each entry is assigned a numeric ID between 0 and 999, derived from a hash of the transaction origin, blockhash, nonce, and block number. When two entries receive the same ID — a collision — the epoch resolves in favour of the colliding participants.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When a collision occurs (approximately 74% of epochs), the accumulated prize pot is split: 34 parts of 39 go to the collision winners, 5 parts go to the DampenerVault as a liquidity contribution. When no collision occurs (approximately 26% of epochs), the 34 winner parts roll over to the next epoch, growing the pot. Epochs also close automatically after 5,200,000 blocks if 52 entries are not reached.</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9.2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Prize Pool Split Architecture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prize flow operates in two stages. First, TokenEngine retains 13 parts of every 52 (25%) of buy-side prize tax as Drain fuel, forwarding the remaining 39 parts to the Sequencer. The Sequencer then internally splits this 39 into 34 (winner share) and 5 (liquidity share). TokenEngine is deliberately agnostic to the Sequencer's internal split.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9.3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Entropy</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Entry IDs are generated using keccak256 of the transaction origin, the previous block's hash, an incrementing nonce, and the current block number. This hybrid approach prevents both validator front-running and user prediction. The scheme provides adequate security for the protocol's threat model while remaining gas-efficient.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9.4</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The Birthday Paradox — Why 74%?</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probability of at least one collision among n entries in a space of d possible IDs is given by:</w:t>
      </w:r>
    </w:p>
    <w:p>
      <w:pPr>
        <w:spacing w:after="160" w:before="160"/>
        <w:ind w:left="720" w:right="720"/>
        <w:jc w:val="center"/>
      </w:pPr>
      <w:r>
        <w:rPr>
          <w:rFonts w:ascii="Garamond" w:cs="Garamond" w:eastAsia="Garamond" w:hAnsi="Garamond"/>
          <w:b w:val="false"/>
          <w:bCs w:val="false"/>
          <w:i/>
          <w:iCs/>
          <w:smallCaps w:val="false"/>
          <w:color w:val="1A1A1A"/>
          <w:sz w:val="22"/>
          <w:szCs w:val="22"/>
        </w:rPr>
        <w:t xml:space="preserve">P = 1 − d! / ((d − n)! × dⁿ)</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With n = 52 and d = 1,000, this yields P ≈ 0.739. Three out of every four epochs produce a winner. The 26% no-collision rate ensures prize pots can roll over and grow, creating occasional larger payouts.</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10</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KEEPER BOT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three smart contracts are autonomous in their logic but require an external caller to trigger maintenance functions. The keeper bot is an off-chain script that monitors the protocol's state and calls permissionless functions at regular intervals.</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10.1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Call Sequence</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W w:type="dxa" w:w="6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w:t>
            </w:r>
          </w:p>
        </w:tc>
        <w:tc>
          <w:tcPr>
            <w:tcW w:type="dxa" w:w="3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Call</w:t>
            </w:r>
          </w:p>
        </w:tc>
        <w:tc>
          <w:tcPr>
            <w:tcW w:type="dxa" w:w="54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Purpose</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TokenEngine.maintain()</w:t>
            </w:r>
          </w:p>
        </w:tc>
        <w:tc>
          <w:tcPr>
            <w:tcW w:type="dxa" w:w="5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Record TWAP price snapshot; check Great Drain threshold</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Sequencer.registerFromKeeper()</w:t>
            </w:r>
          </w:p>
        </w:tc>
        <w:tc>
          <w:tcPr>
            <w:tcW w:type="dxa" w:w="54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Register qualifying buy events as epoch entries</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3</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DampenerVault.pull()</w:t>
            </w:r>
          </w:p>
        </w:tc>
        <w:tc>
          <w:tcPr>
            <w:tcW w:type="dxa" w:w="5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Pull QF from TokenEngine; assess injection need</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4</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executeBuy() / executeEmergency()</w:t>
            </w:r>
          </w:p>
        </w:tc>
        <w:tc>
          <w:tcPr>
            <w:tcW w:type="dxa" w:w="54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Normal injection (market buy, Scarcity) or direct LP add (Hardening/emergency)</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DampenerVault.addLiq()</w:t>
            </w:r>
          </w:p>
        </w:tc>
        <w:tc>
          <w:tcPr>
            <w:tcW w:type="dxa" w:w="5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Add accumulated tokens as permanent liquidity</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6</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DampenerVault.initiateSell()</w:t>
            </w:r>
          </w:p>
        </w:tc>
        <w:tc>
          <w:tcPr>
            <w:tcW w:type="dxa" w:w="54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Sell-into-strength: detect pump, execute swap (Scarcity only)</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w:t>
            </w:r>
          </w:p>
        </w:tc>
        <w:tc>
          <w:tcPr>
            <w:tcW w:type="dxa" w:w="30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DampenerVault.completeSell()</w:t>
            </w:r>
          </w:p>
        </w:tc>
        <w:tc>
          <w:tcPr>
            <w:tcW w:type="dxa" w:w="5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Pair swap proceeds with 52F; add as permanent LP</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10.2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Multi-Step State Machine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QF Network's PolkaVM runtime limits cross-contract calls to approximately 7 per transaction. The DampenerVault uses a state machine pattern splitting operations across multiple keeper bot calls: pull() → executeBuy()/executeEmergency() → addLiq(). Sell-into-strength follows: initiateSell() → completeSell(). Both state machines are independent.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10.3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Centralisation and Liveness</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All keeper bot functions are permissionless — any address can call them. The keeper bot is an operational dependency for liveness, but not a control dependency. A malicious or absent keeper cannot steal funds, alter parameters, or redirect tax. Any community member can run a keeper bot using the published call sequence.</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11</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PHASE LIFECYCLE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protocol progresses through four phases, each defined by block number relative to when trading is enabled. Phase transitions are automatic and irreversible.</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600"/>
        <w:gridCol w:w="2426"/>
      </w:tblGrid>
      <w:tr>
        <w:tc>
          <w:tcPr>
            <w:tcW w:type="dxa" w:w="16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Phase</w:t>
            </w:r>
          </w:p>
        </w:tc>
        <w:tc>
          <w:tcPr>
            <w:tcW w:type="dxa" w:w="20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Blocks</w:t>
            </w:r>
          </w:p>
        </w:tc>
        <w:tc>
          <w:tcPr>
            <w:tcW w:type="dxa" w:w="14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Duration</w:t>
            </w:r>
          </w:p>
        </w:tc>
        <w:tc>
          <w:tcPr>
            <w:tcW w:type="dxa" w:w="16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Tax</w:t>
            </w:r>
          </w:p>
        </w:tc>
        <w:tc>
          <w:tcPr>
            <w:tcW w:type="dxa" w:w="24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Key Mechanism</w:t>
            </w:r>
          </w:p>
        </w:tc>
      </w:tr>
      <w:tr>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Zone A</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0 – 5,200</w:t>
            </w:r>
          </w:p>
        </w:tc>
        <w:tc>
          <w:tcPr>
            <w:tcW w:type="dxa" w:w="1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~8.7 min</w:t>
            </w:r>
          </w:p>
        </w:tc>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9,500 BPS</w:t>
            </w:r>
          </w:p>
        </w:tc>
        <w:tc>
          <w:tcPr>
            <w:tcW w:type="dxa" w:w="2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Sniper deterrence; Dampener capitalisation</w:t>
            </w:r>
          </w:p>
        </w:tc>
      </w:tr>
      <w:tr>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Zone B</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5,200 – 10,400</w:t>
            </w:r>
          </w:p>
        </w:tc>
        <w:tc>
          <w:tcPr>
            <w:tcW w:type="dxa" w:w="14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~8.7 min</w:t>
            </w:r>
          </w:p>
        </w:tc>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9,500 → 4,600 BPS staircase</w:t>
            </w:r>
          </w:p>
        </w:tc>
        <w:tc>
          <w:tcPr>
            <w:tcW w:type="dxa" w:w="24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50-step decay; cliff to baseline at b = 10,400</w:t>
            </w:r>
          </w:p>
        </w:tc>
      </w:tr>
      <w:tr>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Hardening</w:t>
            </w:r>
          </w:p>
        </w:tc>
        <w:tc>
          <w:tcPr>
            <w:tcW w:type="dxa" w:w="20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10,400 – 26M</w:t>
            </w:r>
          </w:p>
        </w:tc>
        <w:tc>
          <w:tcPr>
            <w:tcW w:type="dxa" w:w="14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~30 days</w:t>
            </w:r>
          </w:p>
        </w:tc>
        <w:tc>
          <w:tcPr>
            <w:tcW w:type="dxa" w:w="1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272/314 BPS</w:t>
            </w:r>
          </w:p>
        </w:tc>
        <w:tc>
          <w:tcPr>
            <w:tcW w:type="dxa" w:w="24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LP building via Drain; engine-paired injection</w:t>
            </w:r>
          </w:p>
        </w:tc>
      </w:tr>
      <w:tr>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Scarcity</w:t>
            </w:r>
          </w:p>
        </w:tc>
        <w:tc>
          <w:tcPr>
            <w:tcW w:type="dxa" w:w="20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26M+</w:t>
            </w:r>
          </w:p>
        </w:tc>
        <w:tc>
          <w:tcPr>
            <w:tcW w:type="dxa" w:w="14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Indefinite</w:t>
            </w:r>
          </w:p>
        </w:tc>
        <w:tc>
          <w:tcPr>
            <w:tcW w:type="dxa" w:w="1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272/314 BPS</w:t>
            </w:r>
          </w:p>
        </w:tc>
        <w:tc>
          <w:tcPr>
            <w:tcW w:type="dxa" w:w="24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All 3 strategies; burn if healthy (≥23%)</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Zone A and Zone B form a two-stage sniper defence that simultaneously capitalises the DampenerVault. Hardening is the liquidity-building phase where the Great Drain routes all seized funds into LP and the DampenerVault pairs engine-reserve 52F directly with QF for maximum capital efficiency. Scarcity is the long-term steady state where all three Dampener strategies are active.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transition from Hardening to Scarcity at block 26,000,000 (approximately 30 days) is the most significant phase boundary. It activates sell-into-strength, switches floor injection to market-buy mode, and changes the Great Drain's routing from pure LP injection to a conditional burn/LP split based on the 23% health threshold.</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12</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GOVERNANCE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uses minimal governance by design. The protocol's economic parameters — tax rates, drain thresholds, phase boundaries, vesting schedule — are immutable constants in the contract bytecode. They cannot be changed by governance, multisig, or any other mechanism after deployment.</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12.1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What Can Be Changed</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Two — and only two — contract addresses can be updated: the DampenerVault address and the CryptographicSequencer address. This allows the satellite contracts to be upgraded if a critical bug is discovered, without redeploying the core TokenEngine.</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12.2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Two-Step Timelock</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Any address change requires a two-step process with a mandatory 24-hour delay. The owner proposes a new address, waits for the delay period, then confirms the change in a separate transaction. Either step can be cancelled at any time.</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A pre-trading bypass allows the deployment script to wire contracts rapidly before trading is enabled: _getProposalDelay() returns zero when tradingEnabled is false. Once enableTrading() is called, this bypass is permanently disabled and the full 24-hour delay is enforced.</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12.3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Team Wallet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team wallet address is set during deployment and receives the 75 BPS team tax from every transaction. The team wallet address can be changed by the owner, providing operational flexibility for key rotation without requiring a contract redeployment.</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13</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SECURITY CONSIDERATIONS</w:t>
      </w:r>
    </w:p>
    <w:p>
      <w:pPr>
        <w:keepNext/>
        <w:spacing w:after="80" w:before="280"/>
        <w:jc w:val="left"/>
      </w:pPr>
      <w:r>
        <w:rPr>
          <w:rFonts w:ascii="Garamond" w:cs="Garamond" w:eastAsia="Garamond" w:hAnsi="Garamond"/>
          <w:b/>
          <w:bCs/>
          <w:i w:val="false"/>
          <w:iCs w:val="false"/>
          <w:smallCaps w:val="false"/>
          <w:color w:val="555555"/>
          <w:sz w:val="22"/>
          <w:szCs w:val="22"/>
        </w:rPr>
        <w:t xml:space="preserve">13.1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Reentrancy Protection</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All state variables controlling fund flows (nextDrainBlock, cooldown timestamps, state machine phases) are updated before any external calls. The DampenerVault's multi-step state machine inherently prevents reentrancy because each step transitions the contract to a new state that cannot re-enter the previous step.</w:t>
      </w:r>
    </w:p>
    <w:p>
      <w:pPr>
        <w:keepNext/>
        <w:spacing w:after="80" w:before="280"/>
        <w:jc w:val="left"/>
      </w:pPr>
      <w:r>
        <w:rPr>
          <w:rFonts w:ascii="Garamond" w:cs="Garamond" w:eastAsia="Garamond" w:hAnsi="Garamond"/>
          <w:b/>
          <w:bCs/>
          <w:i w:val="false"/>
          <w:iCs w:val="false"/>
          <w:smallCaps w:val="false"/>
          <w:color w:val="555555"/>
          <w:sz w:val="22"/>
          <w:szCs w:val="22"/>
        </w:rPr>
        <w:t xml:space="preserve">13.2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Integer Arithmetic</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All contracts use Solidity 0.8.26's built-in overflow and underflow protection. Unchecked arithmetic is limited to loop counter increments. Tax calculations use basis points with explicit sum verification to prevent rounding errors from accumulating.</w:t>
      </w:r>
    </w:p>
    <w:p>
      <w:pPr>
        <w:keepNext/>
        <w:spacing w:after="80" w:before="280"/>
        <w:jc w:val="left"/>
      </w:pPr>
      <w:r>
        <w:rPr>
          <w:rFonts w:ascii="Garamond" w:cs="Garamond" w:eastAsia="Garamond" w:hAnsi="Garamond"/>
          <w:b/>
          <w:bCs/>
          <w:i w:val="false"/>
          <w:iCs w:val="false"/>
          <w:smallCaps w:val="false"/>
          <w:color w:val="555555"/>
          <w:sz w:val="22"/>
          <w:szCs w:val="22"/>
        </w:rPr>
        <w:t xml:space="preserve">13.3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Access Control</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Critical functions are restricted by modifier: onlyOwner for governance actions, onlyDampener for DampenerVault-specific calls, onlyTokenEngine for functions that only TokenEngine should invoke. The test suite includes dedicated access control tests verifying each restricted function reverts when called by unauthorised addresses.</w:t>
      </w:r>
    </w:p>
    <w:p>
      <w:pPr>
        <w:keepNext/>
        <w:spacing w:after="80" w:before="280"/>
        <w:jc w:val="left"/>
      </w:pPr>
      <w:r>
        <w:rPr>
          <w:rFonts w:ascii="Garamond" w:cs="Garamond" w:eastAsia="Garamond" w:hAnsi="Garamond"/>
          <w:b/>
          <w:bCs/>
          <w:i w:val="false"/>
          <w:iCs w:val="false"/>
          <w:smallCaps w:val="false"/>
          <w:color w:val="555555"/>
          <w:sz w:val="22"/>
          <w:szCs w:val="22"/>
        </w:rPr>
        <w:t xml:space="preserve">13.4</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Oracle Design</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The TWAP oracle uses a circular buffer of 60 price snapshots with a lookback window of 36,000 blocks (approximately 1 hour). An attacker would need to sustain a price distortion across the full lookback window to influence the TWAP — economically prohibitive at launch scale.</w:t>
      </w:r>
    </w:p>
    <w:p>
      <w:pPr>
        <w:keepNext/>
        <w:spacing w:after="80" w:before="280"/>
        <w:jc w:val="left"/>
      </w:pPr>
      <w:r>
        <w:rPr>
          <w:rFonts w:ascii="Garamond" w:cs="Garamond" w:eastAsia="Garamond" w:hAnsi="Garamond"/>
          <w:b/>
          <w:bCs/>
          <w:i w:val="false"/>
          <w:iCs w:val="false"/>
          <w:smallCaps w:val="false"/>
          <w:color w:val="555555"/>
          <w:sz w:val="22"/>
          <w:szCs w:val="22"/>
        </w:rPr>
        <w:t xml:space="preserve">13.5</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Entropy</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The Great Drain and the CryptographicSequencer use blockhash-based entropy for randomisation. The DampenerVault's sell-into-strength mechanism uses richer entropy, combining blockhash with a sell-specific nonce, the vault's cumulative injection total, the vault's own address, and the caller's address. The economic cost of exploitation exceeds the potential reward at launch-scale TVL.</w:t>
      </w:r>
    </w:p>
    <w:p>
      <w:pPr>
        <w:keepNext/>
        <w:spacing w:after="80" w:before="280"/>
        <w:jc w:val="left"/>
      </w:pPr>
      <w:r>
        <w:rPr>
          <w:rFonts w:ascii="Garamond" w:cs="Garamond" w:eastAsia="Garamond" w:hAnsi="Garamond"/>
          <w:b/>
          <w:bCs/>
          <w:i w:val="false"/>
          <w:iCs w:val="false"/>
          <w:smallCaps w:val="false"/>
          <w:color w:val="555555"/>
          <w:sz w:val="22"/>
          <w:szCs w:val="22"/>
        </w:rPr>
        <w:t xml:space="preserve">13.6</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Vesting Protection</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A vesting-aware guard in pull52fReserve() ensures the DampenerVault can never withdraw tokens that back the founder's vesting allocation. The guard enforces _balances[address(this)] − amount ≥ vestingVault at all times, mathematically separating the engine reserve from the vesting pool within the same contract balance.</w:t>
      </w:r>
    </w:p>
    <w:p>
      <w:pPr>
        <w:keepNext/>
        <w:spacing w:after="80" w:before="280"/>
        <w:jc w:val="left"/>
      </w:pPr>
      <w:r>
        <w:rPr>
          <w:rFonts w:ascii="Garamond" w:cs="Garamond" w:eastAsia="Garamond" w:hAnsi="Garamond"/>
          <w:b/>
          <w:bCs/>
          <w:i w:val="false"/>
          <w:iCs w:val="false"/>
          <w:smallCaps w:val="false"/>
          <w:color w:val="555555"/>
          <w:sz w:val="22"/>
          <w:szCs w:val="22"/>
        </w:rPr>
        <w:t xml:space="preserve">13.7</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Test Coverage</w:t>
      </w:r>
    </w:p>
    <w:p>
      <w:pPr>
        <w:spacing w:after="160" w:before="40"/>
        <w:jc w:val="both"/>
      </w:pPr>
      <w:r>
        <w:rPr>
          <w:rFonts w:ascii="Garamond" w:cs="Garamond" w:eastAsia="Garamond" w:hAnsi="Garamond"/>
          <w:b w:val="false"/>
          <w:bCs w:val="false"/>
          <w:i w:val="false"/>
          <w:iCs w:val="false"/>
          <w:smallCaps w:val="false"/>
          <w:color w:val="1A1A1A"/>
          <w:sz w:val="22"/>
          <w:szCs w:val="22"/>
        </w:rPr>
        <w:t xml:space="preserve">The protocol has 314 passing tests across two test files, covering core functionality, edge cases, access control, phase transitions, drain routing, vesting, sell-into-strength (12 core scenarios plus 8 adversarial cases), and the vesting-aware pull guard.</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14</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DEPLOYMENT &amp; INFRASTRUCTURE</w:t>
      </w:r>
    </w:p>
    <w:p>
      <w:pPr>
        <w:keepNext/>
        <w:spacing w:after="80" w:before="280"/>
        <w:jc w:val="left"/>
      </w:pPr>
      <w:r>
        <w:rPr>
          <w:rFonts w:ascii="Garamond" w:cs="Garamond" w:eastAsia="Garamond" w:hAnsi="Garamond"/>
          <w:b/>
          <w:bCs/>
          <w:i w:val="false"/>
          <w:iCs w:val="false"/>
          <w:smallCaps w:val="false"/>
          <w:color w:val="555555"/>
          <w:sz w:val="22"/>
          <w:szCs w:val="22"/>
        </w:rPr>
        <w:t xml:space="preserve">14.1</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QF Network</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deploys on QF Network, a Substrate-based blockchain with Chain ID 3426, 0.1-second block time, and PolkaVM smart contract execution. Contracts are compiled with resolc (version 0.5.0) producing PolkaVM bytecode. This is a hard requirement — the network rejects EVM bytecode entirely.</w:t>
      </w:r>
    </w:p>
    <w:p>
      <w:pPr>
        <w:spacing w:after="6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14.2</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Deployment Sequence</w:t>
      </w:r>
    </w:p>
    <w:p>
      <w:pPr>
        <w:spacing w:after="80" w:before="0"/>
      </w:pPr>
      <w:r>
        <w:rPr>
          <w:rFonts w:ascii="Garamond" w:cs="Garamond" w:eastAsia="Garamond" w:hAnsi="Garamond"/>
          <w:b w:val="false"/>
          <w:bCs w:val="false"/>
          <w:i w:val="false"/>
          <w:iCs w:val="false"/>
          <w:small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Step</w:t>
            </w:r>
          </w:p>
        </w:tc>
        <w:tc>
          <w:tcPr>
            <w:tcW w:type="dxa" w:w="3200"/>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Action</w:t>
            </w:r>
          </w:p>
        </w:tc>
        <w:tc>
          <w:tcPr>
            <w:tcW w:type="dxa" w:w="5226"/>
            <w:tcBorders>
              <w:top w:val="single" w:color="CCCCCC" w:sz="4"/>
              <w:left w:val="single" w:color="CCCCCC" w:sz="4"/>
              <w:bottom w:val="single" w:color="CCCCCC" w:sz="4"/>
              <w:right w:val="single" w:color="CCCCCC" w:sz="4"/>
            </w:tcBorders>
            <w:shd w:fill="2C2C2C" w:val="clear"/>
            <w:tcMar>
              <w:top w:type="dxa" w:w="80"/>
              <w:left w:type="dxa" w:w="140"/>
              <w:bottom w:type="dxa" w:w="80"/>
              <w:right w:type="dxa" w:w="140"/>
            </w:tcMar>
            <w:vAlign w:val="center"/>
          </w:tcPr>
          <w:p>
            <w:pPr>
              <w:jc w:val="left"/>
            </w:pPr>
            <w:r>
              <w:rPr>
                <w:rFonts w:ascii="Garamond" w:cs="Garamond" w:eastAsia="Garamond" w:hAnsi="Garamond"/>
                <w:b/>
                <w:bCs/>
                <w:i w:val="false"/>
                <w:iCs w:val="false"/>
                <w:smallCaps w:val="false"/>
                <w:color w:val="FFFFFF"/>
                <w:sz w:val="19"/>
                <w:szCs w:val="19"/>
              </w:rPr>
              <w:t xml:space="preserve">Notes</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deploy-dex.mjs</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Deploy WQFI, Factory, Pair, Router</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2</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deploy-token.mjs</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Deploy TokenEngine — mints full supply</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3</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deploy-52f.mjs</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Deploy DampenerVault and CryptographicSequencer</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4</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wire.mjs</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Cross-contract wiring (pre-trading delay bypass active)</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5</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seed-liquidity.mjs</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Dust seed: 1 QF + 193 tokens → pair (pins ratio at ~193.89 tokens/QF)</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6</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set-pair.mjs</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Register pair address in TokenEngine</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7</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seedTransfer()</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Send 62,851,264 tokens from deployer to TokenEngine engine reserve</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8</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Test bootstrap</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smallCaps w:val="false"/>
                <w:color w:val="1A1A1A"/>
                <w:sz w:val="19"/>
                <w:szCs w:val="19"/>
              </w:rPr>
              <w:t xml:space="preserve">Send 100 QF → bootstrap() → verify-bootstrap.mjs — STOP if anything wrong</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9</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Full bootstrap</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smallCaps w:val="false"/>
                <w:color w:val="1A1A1A"/>
                <w:sz w:val="19"/>
                <w:szCs w:val="19"/>
              </w:rPr>
              <w:t xml:space="preserve">Send 51,900 QF → bootstrap() — deploys ~41,536 QF to LP, retains ~10,384 QF reserve</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10</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sealBootstrap()</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Permanently locks out further bootstraps</w:t>
            </w:r>
          </w:p>
        </w:tc>
      </w:tr>
      <w:tr>
        <w:tc>
          <w:tcPr>
            <w:tcW w:type="dxa" w:w="600"/>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11</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enable-trading.mjs</w:t>
            </w:r>
          </w:p>
        </w:tc>
        <w:tc>
          <w:tcPr>
            <w:tcW w:type="dxa" w:w="5226"/>
            <w:tcBorders>
              <w:top w:val="single" w:color="CCCCCC" w:sz="4"/>
              <w:left w:val="single" w:color="CCCCCC" w:sz="4"/>
              <w:bottom w:val="single" w:color="CCCCCC" w:sz="4"/>
              <w:right w:val="single" w:color="CCCCCC" w:sz="4"/>
            </w:tcBorders>
            <w:shd w:fill="F0F0F0"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Trading goes live — Zone A begins immediately</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12</w:t>
            </w:r>
          </w:p>
        </w:tc>
        <w:tc>
          <w:tcPr>
            <w:tcW w:type="dxa" w:w="3200"/>
            <w:tcBorders>
              <w:top w:val="single" w:color="CCCCCC" w:sz="4"/>
              <w:left w:val="single" w:color="CCCCCC" w:sz="4"/>
              <w:bottom w:val="single" w:color="CCCCCC" w:sz="4"/>
              <w:right w:val="single" w:color="CCCCCC" w:sz="4"/>
            </w:tcBorders>
            <w:shd w:fill="F7F7F7" w:val="clear"/>
            <w:tcMar>
              <w:top w:type="dxa" w:w="80"/>
              <w:left w:type="dxa" w:w="140"/>
              <w:bottom w:type="dxa" w:w="80"/>
              <w:right w:type="dxa" w:w="140"/>
            </w:tcMar>
          </w:tcPr>
          <w:p>
            <w:r>
              <w:rPr>
                <w:rFonts w:ascii="Courier New" w:cs="Courier New" w:eastAsia="Courier New" w:hAnsi="Courier New"/>
                <w:b w:val="false"/>
                <w:bCs w:val="false"/>
                <w:i w:val="false"/>
                <w:iCs w:val="false"/>
                <w:smallCaps w:val="false"/>
                <w:color w:val="2C2C2C"/>
                <w:sz w:val="18"/>
                <w:szCs w:val="18"/>
              </w:rPr>
              <w:t xml:space="preserve">test-buy.mjs</w:t>
            </w:r>
          </w:p>
        </w:tc>
        <w:tc>
          <w:tcPr>
            <w:tcW w:type="dxa" w:w="5226"/>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center"/>
          </w:tcPr>
          <w:p>
            <w:pPr>
              <w:jc w:val="left"/>
            </w:pPr>
            <w:r>
              <w:rPr>
                <w:rFonts w:ascii="Garamond" w:cs="Garamond" w:eastAsia="Garamond" w:hAnsi="Garamond"/>
                <w:b w:val="false"/>
                <w:bCs w:val="false"/>
                <w:i w:val="false"/>
                <w:iCs w:val="false"/>
                <w:smallCaps w:val="false"/>
                <w:color w:val="1A1A1A"/>
                <w:sz w:val="19"/>
                <w:szCs w:val="19"/>
              </w:rPr>
              <w:t xml:space="preserve">Verify tax routing and prize pot accumulation</w:t>
            </w:r>
          </w:p>
        </w:tc>
      </w:tr>
    </w:tbl>
    <w:p>
      <w:pPr>
        <w:spacing w:after="140" w:before="0"/>
      </w:pPr>
      <w:r>
        <w:rPr>
          <w:rFonts w:ascii="Garamond" w:cs="Garamond" w:eastAsia="Garamond" w:hAnsi="Garamond"/>
          <w:b w:val="false"/>
          <w:bCs w:val="false"/>
          <w:i w:val="false"/>
          <w:iCs w:val="false"/>
          <w:smallCaps w:val="false"/>
          <w:color w:val="1A1A1A"/>
          <w:sz w:val="22"/>
          <w:szCs w:val="22"/>
        </w:rPr>
        <w:t xml:space="preserve"/>
      </w:r>
    </w:p>
    <w:p>
      <w:pPr>
        <w:keepNext/>
        <w:spacing w:after="80" w:before="280"/>
        <w:jc w:val="left"/>
      </w:pPr>
      <w:r>
        <w:rPr>
          <w:rFonts w:ascii="Garamond" w:cs="Garamond" w:eastAsia="Garamond" w:hAnsi="Garamond"/>
          <w:b/>
          <w:bCs/>
          <w:i w:val="false"/>
          <w:iCs w:val="false"/>
          <w:smallCaps w:val="false"/>
          <w:color w:val="555555"/>
          <w:sz w:val="22"/>
          <w:szCs w:val="22"/>
        </w:rPr>
        <w:t xml:space="preserve">14.3</w:t>
      </w:r>
      <w:r>
        <w:rPr>
          <w:rFonts w:ascii="Garamond" w:cs="Garamond" w:eastAsia="Garamond" w:hAnsi="Garamond"/>
          <w:b w:val="false"/>
          <w:bCs w:val="false"/>
          <w:i w:val="false"/>
          <w:iCs w:val="false"/>
          <w:smallCaps w:val="false"/>
          <w:color w:val="1A1A1A"/>
          <w:sz w:val="22"/>
          <w:szCs w:val="22"/>
        </w:rPr>
        <w:t xml:space="preserve">  </w:t>
      </w:r>
      <w:r>
        <w:rPr>
          <w:rFonts w:ascii="Garamond" w:cs="Garamond" w:eastAsia="Garamond" w:hAnsi="Garamond"/>
          <w:b/>
          <w:bCs/>
          <w:i w:val="false"/>
          <w:iCs w:val="false"/>
          <w:smallCaps w:val="false"/>
          <w:color w:val="1A1A1A"/>
          <w:sz w:val="22"/>
          <w:szCs w:val="22"/>
        </w:rPr>
        <w:t xml:space="preserve">AMM Integration</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protocol integrates with any Uniswap V2-compatible AMM. At launch, 52F trades on the Nucleus X DEX. An assembly-free test AMM (MinimalDEX) was built during development to ensure full PolkaVM compatibility. All contract interfaces match standard Uniswap V2 function signatures, allowing migration to alternative AMMs without contract modification.</w:t>
      </w:r>
    </w:p>
    <w:p>
      <w:pPr>
        <w:spacing w:after="80" w:before="0"/>
      </w:pPr>
      <w:r>
        <w:rPr>
          <w:rFonts w:ascii="Garamond" w:cs="Garamond" w:eastAsia="Garamond" w:hAnsi="Garamond"/>
          <w:b w:val="false"/>
          <w:bCs w:val="false"/>
          <w:i w:val="false"/>
          <w:iCs w:val="false"/>
          <w:smallCaps w:val="false"/>
          <w:color w:val="1A1A1A"/>
          <w:sz w:val="22"/>
          <w:szCs w:val="22"/>
        </w:rPr>
        <w:t xml:space="preserve"/>
      </w:r>
    </w:p>
    <w:p>
      <w:pPr>
        <w:keepNext/>
        <w:pBdr>
          <w:bottom w:val="single" w:color="2C2C2C" w:sz="8" w:space="1"/>
        </w:pBdr>
        <w:spacing w:after="120" w:before="480"/>
        <w:jc w:val="left"/>
      </w:pPr>
      <w:r>
        <w:rPr>
          <w:rFonts w:ascii="Garamond" w:cs="Garamond" w:eastAsia="Garamond" w:hAnsi="Garamond"/>
          <w:b/>
          <w:bCs/>
          <w:i w:val="false"/>
          <w:iCs w:val="false"/>
          <w:smallCaps w:val="false"/>
          <w:color w:val="1A1A1A"/>
          <w:sz w:val="28"/>
          <w:szCs w:val="28"/>
        </w:rPr>
        <w:t xml:space="preserve">15</w:t>
      </w:r>
      <w:r>
        <w:rPr>
          <w:rFonts w:ascii="Garamond" w:cs="Garamond" w:eastAsia="Garamond" w:hAnsi="Garamond"/>
          <w:b w:val="false"/>
          <w:bCs w:val="false"/>
          <w:i w:val="false"/>
          <w:iCs w:val="false"/>
          <w:smallCaps w:val="false"/>
          <w:color w:val="1A1A1A"/>
          <w:sz w:val="28"/>
          <w:szCs w:val="28"/>
        </w:rPr>
        <w:t xml:space="preserve">    </w:t>
      </w:r>
      <w:r>
        <w:rPr>
          <w:rFonts w:ascii="Garamond" w:cs="Garamond" w:eastAsia="Garamond" w:hAnsi="Garamond"/>
          <w:b/>
          <w:bCs/>
          <w:i w:val="false"/>
          <w:iCs w:val="false"/>
          <w:smallCaps/>
          <w:color w:val="1A1A1A"/>
          <w:sz w:val="26"/>
          <w:szCs w:val="26"/>
        </w:rPr>
        <w:t xml:space="preserve">DISCLAIMER</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This paper is provided for informational purposes only and does not constitute financial advice, an offer of securities, or a solicitation to purchase tokens. The information presented reflects the protocol's design as of April 2026 and may be subject to change prior to mainnet deployment.</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Participation in decentralised finance protocols carries inherent risks including but not limited to smart contract vulnerabilities, market volatility, regulatory uncertainty, and loss of funds. Potential participants should conduct their own research and consult qualified advisors before interacting with the protocol.</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Project 52F is built by a solo developer using AI-assisted development tools. While the protocol has undergone extensive testing (314 passing tests at time of writing), it has not been formally audited by a third-party security firm. The absence of a formal audit should be considered a risk factor.</w:t>
      </w:r>
    </w:p>
    <w:p>
      <w:pPr>
        <w:spacing w:after="180" w:before="0"/>
        <w:jc w:val="both"/>
      </w:pPr>
      <w:r>
        <w:rPr>
          <w:rFonts w:ascii="Garamond" w:cs="Garamond" w:eastAsia="Garamond" w:hAnsi="Garamond"/>
          <w:b w:val="false"/>
          <w:bCs w:val="false"/>
          <w:i w:val="false"/>
          <w:iCs w:val="false"/>
          <w:smallCaps w:val="false"/>
          <w:color w:val="1A1A1A"/>
          <w:sz w:val="22"/>
          <w:szCs w:val="22"/>
        </w:rPr>
        <w:t xml:space="preserve">The mathematical constants referenced throughout this document (e, π, √2, 52!) are verifiable mathematical facts. The economic mechanisms described are deterministic and encoded in immutable smart contract bytecode. However, the performance of any token or protocol is not guaranteed, and past mathematical properties do not predict future market outcomes.</w:t>
      </w:r>
    </w:p>
    <w:p>
      <w:pPr>
        <w:spacing w:after="200" w:before="0"/>
      </w:pPr>
      <w:r>
        <w:rPr>
          <w:rFonts w:ascii="Garamond" w:cs="Garamond" w:eastAsia="Garamond" w:hAnsi="Garamond"/>
          <w:b w:val="false"/>
          <w:bCs w:val="false"/>
          <w:i w:val="false"/>
          <w:iCs w:val="false"/>
          <w:smallCaps w:val="false"/>
          <w:color w:val="1A1A1A"/>
          <w:sz w:val="22"/>
          <w:szCs w:val="22"/>
        </w:rPr>
        <w:t xml:space="preserve"/>
      </w:r>
    </w:p>
    <w:p>
      <w:pPr>
        <w:pBdr>
          <w:bottom w:val="single" w:color="2C2C2C" w:sz="6" w:space="1"/>
        </w:pBdr>
        <w:spacing w:after="0" w:before="0"/>
        <w:jc w:val="center"/>
      </w:pPr>
      <w:r>
        <w:rPr>
          <w:rFonts w:ascii="Garamond" w:cs="Garamond" w:eastAsia="Garamond" w:hAnsi="Garamond"/>
          <w:b w:val="false"/>
          <w:bCs w:val="false"/>
          <w:i/>
          <w:iCs/>
          <w:smallCaps w:val="false"/>
          <w:color w:val="555555"/>
          <w:sz w:val="19"/>
          <w:szCs w:val="19"/>
        </w:rPr>
        <w:t xml:space="preserve">Project 52F  ·  QF Network  ·  April 2026  ·  The constants do the rest.</w:t>
      </w:r>
    </w:p>
    <w:sectPr>
      <w:headerReference w:type="default" ns2:id="rId7"/>
      <w:footerReference w:type="default" ns2: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2C2C" w:sz="4" w:space="1"/>
      </w:pBdr>
      <w:tabs>
        <w:tab w:val="right" w:pos="9026"/>
      </w:tabs>
      <w:spacing w:after="0" w:before="40"/>
    </w:pPr>
    <w:r>
      <w:rPr>
        <w:rFonts w:ascii="Garamond" w:cs="Garamond" w:eastAsia="Garamond" w:hAnsi="Garamond"/>
        <w:b w:val="false"/>
        <w:bCs w:val="false"/>
        <w:i w:val="false"/>
        <w:iCs w:val="false"/>
        <w:smallCaps w:val="false"/>
        <w:color w:val="555555"/>
        <w:sz w:val="17"/>
        <w:szCs w:val="17"/>
      </w:rPr>
      <w:t xml:space="preserve">QF Network  ·  Chain ID 3426</w:t>
    </w:r>
    <w:r>
      <w:rPr>
        <w:rFonts w:ascii="Garamond" w:cs="Garamond" w:eastAsia="Garamond" w:hAnsi="Garamond"/>
        <w:color w:val="555555"/>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2C2C" w:sz="6" w:space="1"/>
      </w:pBdr>
      <w:tabs>
        <w:tab w:val="right" w:pos="9026"/>
      </w:tabs>
      <w:spacing w:after="40" w:before="0"/>
    </w:pPr>
    <w:r>
      <w:rPr>
        <w:rFonts w:ascii="Garamond" w:cs="Garamond" w:eastAsia="Garamond" w:hAnsi="Garamond"/>
        <w:b w:val="false"/>
        <w:bCs w:val="false"/>
        <w:i w:val="false"/>
        <w:iCs w:val="false"/>
        <w:smallCaps w:val="false"/>
        <w:color w:val="555555"/>
        <w:sz w:val="18"/>
        <w:szCs w:val="18"/>
      </w:rPr>
      <w:t xml:space="preserve">Project 52F  ·  Whitepaper v2.0</w:t>
    </w:r>
    <w:r>
      <w:rPr>
        <w:rFonts w:ascii="Garamond" w:cs="Garamond" w:eastAsia="Garamond" w:hAnsi="Garamond"/>
        <w:color w:val="555555"/>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Garamond" w:cs="Garamond" w:eastAsia="Garamond" w:hAnsi="Garamond"/>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2026-04-15T16:55:07.094Z</dcterms:created>
  <dcterms:modified xsi:type="dcterms:W3CDTF">2026-04-15T16:55:07.095Z</dcterms:modified>
</cp:coreProperties>
</file>

<file path=docProps/custom.xml><?xml version="1.0" encoding="utf-8"?>
<Properties xmlns="http://schemas.openxmlformats.org/officeDocument/2006/custom-properties" xmlns:vt="http://schemas.openxmlformats.org/officeDocument/2006/docPropsVTypes"/>
</file>