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个人信息导出复核清单</w:t>
      </w:r>
    </w:p>
    <w:p>
      <w:r>
        <w:t>导出个人信息前必须确认业务目的、数据字段、接收方和保存期限。</w:t>
      </w:r>
    </w:p>
    <w:p>
      <w:r>
        <w:t>高敏感字段需要隐私负责人和法务共同复核。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申请阶段</w:t>
            </w:r>
          </w:p>
        </w:tc>
        <w:tc>
          <w:tcPr>
            <w:tcW w:type="dxa" w:w="2880"/>
          </w:tcPr>
          <w:p>
            <w:r>
              <w:t>业务负责人</w:t>
            </w:r>
          </w:p>
        </w:tc>
        <w:tc>
          <w:tcPr>
            <w:tcW w:type="dxa" w:w="2880"/>
          </w:tcPr>
          <w:p>
            <w:r>
              <w:t>说明导出目的和字段范围</w:t>
            </w:r>
          </w:p>
        </w:tc>
      </w:tr>
      <w:tr>
        <w:tc>
          <w:tcPr>
            <w:tcW w:type="dxa" w:w="2880"/>
          </w:tcPr>
          <w:p>
            <w:r>
              <w:t>复核阶段</w:t>
            </w:r>
          </w:p>
        </w:tc>
        <w:tc>
          <w:tcPr>
            <w:tcW w:type="dxa" w:w="2880"/>
          </w:tcPr>
          <w:p>
            <w:r>
              <w:t>隐私负责人</w:t>
            </w:r>
          </w:p>
        </w:tc>
        <w:tc>
          <w:tcPr>
            <w:tcW w:type="dxa" w:w="2880"/>
          </w:tcPr>
          <w:p>
            <w:r>
              <w:t>确认最小必要和留痕</w:t>
            </w:r>
          </w:p>
        </w:tc>
      </w:tr>
      <w:tr>
        <w:tc>
          <w:tcPr>
            <w:tcW w:type="dxa" w:w="2880"/>
          </w:tcPr>
          <w:p>
            <w:r>
              <w:t>归档阶段</w:t>
            </w:r>
          </w:p>
        </w:tc>
        <w:tc>
          <w:tcPr>
            <w:tcW w:type="dxa" w:w="2880"/>
          </w:tcPr>
          <w:p>
            <w:r>
              <w:t>数据管理员</w:t>
            </w:r>
          </w:p>
        </w:tc>
        <w:tc>
          <w:tcPr>
            <w:tcW w:type="dxa" w:w="2880"/>
          </w:tcPr>
          <w:p>
            <w:r>
              <w:t>保存审批记录和导出日志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