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医疗理赔材料清单</w:t>
      </w:r>
    </w:p>
    <w:p>
      <w:r>
        <w:t>医疗理赔申请需要发票、费用清单、病历、诊断证明和身份证明。</w:t>
      </w:r>
    </w:p>
    <w:p>
      <w:r>
        <w:t>材料照片模糊或发票抬头不一致时，应退回补充，不得直接承诺赔付。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材料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  <w:tc>
          <w:tcPr>
            <w:tcW w:type="dxa" w:w="2880"/>
          </w:tcPr>
          <w:p>
            <w:r>
              <w:t>常见问题</w:t>
            </w:r>
          </w:p>
        </w:tc>
      </w:tr>
      <w:tr>
        <w:tc>
          <w:tcPr>
            <w:tcW w:type="dxa" w:w="2880"/>
          </w:tcPr>
          <w:p>
            <w:r>
              <w:t>诊断证明</w:t>
            </w:r>
          </w:p>
        </w:tc>
        <w:tc>
          <w:tcPr>
            <w:tcW w:type="dxa" w:w="2880"/>
          </w:tcPr>
          <w:p>
            <w:r>
              <w:t>确认事故或疾病原因</w:t>
            </w:r>
          </w:p>
        </w:tc>
        <w:tc>
          <w:tcPr>
            <w:tcW w:type="dxa" w:w="2880"/>
          </w:tcPr>
          <w:p>
            <w:r>
              <w:t>缺少医院盖章</w:t>
            </w:r>
          </w:p>
        </w:tc>
      </w:tr>
      <w:tr>
        <w:tc>
          <w:tcPr>
            <w:tcW w:type="dxa" w:w="2880"/>
          </w:tcPr>
          <w:p>
            <w:r>
              <w:t>费用清单</w:t>
            </w:r>
          </w:p>
        </w:tc>
        <w:tc>
          <w:tcPr>
            <w:tcW w:type="dxa" w:w="2880"/>
          </w:tcPr>
          <w:p>
            <w:r>
              <w:t>核对赔付项目</w:t>
            </w:r>
          </w:p>
        </w:tc>
        <w:tc>
          <w:tcPr>
            <w:tcW w:type="dxa" w:w="2880"/>
          </w:tcPr>
          <w:p>
            <w:r>
              <w:t>金额与发票不一致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