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Webhook 回调排查指南</w:t>
      </w:r>
    </w:p>
    <w:p>
      <w:r>
        <w:t>Webhook 回调失败时，应先确认回调地址、签名密钥、HTTP 状态码和重试记录。</w:t>
      </w:r>
    </w:p>
    <w:p>
      <w:r>
        <w:t>客户修改回调地址后，需要重新发送测试事件并保存验证日志。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检查项</w:t>
            </w:r>
          </w:p>
        </w:tc>
        <w:tc>
          <w:tcPr>
            <w:tcW w:type="dxa" w:w="2880"/>
          </w:tcPr>
          <w:p>
            <w:r>
              <w:t>说明</w:t>
            </w:r>
          </w:p>
        </w:tc>
        <w:tc>
          <w:tcPr>
            <w:tcW w:type="dxa" w:w="2880"/>
          </w:tcPr>
          <w:p>
            <w:r>
              <w:t>处理动作</w:t>
            </w:r>
          </w:p>
        </w:tc>
      </w:tr>
      <w:tr>
        <w:tc>
          <w:tcPr>
            <w:tcW w:type="dxa" w:w="2880"/>
          </w:tcPr>
          <w:p>
            <w:r>
              <w:t>状态码</w:t>
            </w:r>
          </w:p>
        </w:tc>
        <w:tc>
          <w:tcPr>
            <w:tcW w:type="dxa" w:w="2880"/>
          </w:tcPr>
          <w:p>
            <w:r>
              <w:t>非 2xx 视为失败</w:t>
            </w:r>
          </w:p>
        </w:tc>
        <w:tc>
          <w:tcPr>
            <w:tcW w:type="dxa" w:w="2880"/>
          </w:tcPr>
          <w:p>
            <w:r>
              <w:t>查看客户服务日志</w:t>
            </w:r>
          </w:p>
        </w:tc>
      </w:tr>
      <w:tr>
        <w:tc>
          <w:tcPr>
            <w:tcW w:type="dxa" w:w="2880"/>
          </w:tcPr>
          <w:p>
            <w:r>
              <w:t>签名</w:t>
            </w:r>
          </w:p>
        </w:tc>
        <w:tc>
          <w:tcPr>
            <w:tcW w:type="dxa" w:w="2880"/>
          </w:tcPr>
          <w:p>
            <w:r>
              <w:t>密钥不一致会拒收</w:t>
            </w:r>
          </w:p>
        </w:tc>
        <w:tc>
          <w:tcPr>
            <w:tcW w:type="dxa" w:w="2880"/>
          </w:tcPr>
          <w:p>
            <w:r>
              <w:t>重新生成密钥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