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投标授权文件检查清单</w:t>
      </w:r>
    </w:p>
    <w:p>
      <w:r>
        <w:t>投标文件必须包含有效授权书、营业执照、保证金凭证和关键响应表。</w:t>
      </w:r>
    </w:p>
    <w:p>
      <w:r>
        <w:t>授权书缺失或签章不完整可能导致废标风险。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材料</w:t>
            </w:r>
          </w:p>
        </w:tc>
        <w:tc>
          <w:tcPr>
            <w:tcW w:type="dxa" w:w="2880"/>
          </w:tcPr>
          <w:p>
            <w:r>
              <w:t>检查点</w:t>
            </w:r>
          </w:p>
        </w:tc>
        <w:tc>
          <w:tcPr>
            <w:tcW w:type="dxa" w:w="2880"/>
          </w:tcPr>
          <w:p>
            <w:r>
              <w:t>风险</w:t>
            </w:r>
          </w:p>
        </w:tc>
      </w:tr>
      <w:tr>
        <w:tc>
          <w:tcPr>
            <w:tcW w:type="dxa" w:w="2880"/>
          </w:tcPr>
          <w:p>
            <w:r>
              <w:t>授权书</w:t>
            </w:r>
          </w:p>
        </w:tc>
        <w:tc>
          <w:tcPr>
            <w:tcW w:type="dxa" w:w="2880"/>
          </w:tcPr>
          <w:p>
            <w:r>
              <w:t>签字盖章和授权范围</w:t>
            </w:r>
          </w:p>
        </w:tc>
        <w:tc>
          <w:tcPr>
            <w:tcW w:type="dxa" w:w="2880"/>
          </w:tcPr>
          <w:p>
            <w:r>
              <w:t>废标</w:t>
            </w:r>
          </w:p>
        </w:tc>
      </w:tr>
      <w:tr>
        <w:tc>
          <w:tcPr>
            <w:tcW w:type="dxa" w:w="2880"/>
          </w:tcPr>
          <w:p>
            <w:r>
              <w:t>保证金</w:t>
            </w:r>
          </w:p>
        </w:tc>
        <w:tc>
          <w:tcPr>
            <w:tcW w:type="dxa" w:w="2880"/>
          </w:tcPr>
          <w:p>
            <w:r>
              <w:t>金额和到账时间</w:t>
            </w:r>
          </w:p>
        </w:tc>
        <w:tc>
          <w:tcPr>
            <w:tcW w:type="dxa" w:w="2880"/>
          </w:tcPr>
          <w:p>
            <w:r>
              <w:t>资格审查失败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