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Signed service directive SD-19</w:t>
      </w:r>
    </w:p>
    <w:p>
      <w:r>
        <w:t xml:space="preserve">Effective 2026-03-01, Route N transfer eligibility is extended from 45 to 60 minutes during signal reconstruction.</w:t>
      </w:r>
    </w:p>
    <w:tbl>
      <w:tblPr/>
      <w:tblGrid/>
      <w:tr>
        <w:tc>
          <w:tcPr/>
          <w:p>
            <w:r>
              <w:t xml:space="preserve">route</w:t>
            </w:r>
          </w:p>
        </w:tc>
        <w:tc>
          <w:tcPr/>
          <w:p>
            <w:r>
              <w:t xml:space="preserve">exception</w:t>
            </w:r>
          </w:p>
        </w:tc>
        <w:tc>
          <w:tcPr/>
          <w:p>
            <w:r>
              <w:t xml:space="preserve">effective</w:t>
            </w:r>
          </w:p>
        </w:tc>
      </w:tr>
      <w:tr>
        <w:tc>
          <w:tcPr/>
          <w:p>
            <w:r>
              <w:t xml:space="preserve">N</w:t>
            </w:r>
          </w:p>
        </w:tc>
        <w:tc>
          <w:tcPr/>
          <w:p>
            <w:r>
              <w:t xml:space="preserve">peak supplement waived</w:t>
            </w:r>
          </w:p>
        </w:tc>
        <w:tc>
          <w:tcPr/>
          <w:p>
            <w:r>
              <w:t xml:space="preserve">2026-03-01 through 2026-06-30</w:t>
            </w:r>
          </w:p>
        </w:tc>
      </w:tr>
    </w:tbl>
    <w:p>
      <w:r>
        <w:t xml:space="preserve">All base-zone fares remain unchanged. Signed by the fare authority on 2026-02-24.</w:t>
      </w:r>
    </w:p>
    <w:sectPr/>
  </w:body>
</w:document>
</file>