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Juniper Ridge Phase II signed commercial addendum A4</w:t>
      </w:r>
    </w:p>
    <w:p>
      <w:r>
        <w:t xml:space="preserve">This addendum applies to revision R4 and supersedes draft commercial correspondence.</w:t>
      </w:r>
    </w:p>
    <w:tbl>
      <w:tblPr/>
      <w:tblGrid/>
      <w:tr>
        <w:tc>
          <w:tcPr/>
          <w:p>
            <w:r>
              <w:t xml:space="preserve">term</w:t>
            </w:r>
          </w:p>
        </w:tc>
        <w:tc>
          <w:tcPr/>
          <w:p>
            <w:r>
              <w:t xml:space="preserve">approved_value</w:t>
            </w:r>
          </w:p>
        </w:tc>
        <w:tc>
          <w:tcPr/>
          <w:p>
            <w:r>
              <w:t xml:space="preserve">scope</w:t>
            </w:r>
          </w:p>
        </w:tc>
      </w:tr>
      <w:tr>
        <w:tc>
          <w:tcPr/>
          <w:p>
            <w:r>
              <w:t xml:space="preserve">net capacity factor</w:t>
            </w:r>
          </w:p>
        </w:tc>
        <w:tc>
          <w:tcPr/>
          <w:p>
            <w:r>
              <w:t xml:space="preserve">38 percent</w:t>
            </w:r>
          </w:p>
        </w:tc>
        <w:tc>
          <w:tcPr/>
          <w:p>
            <w:r>
              <w:t xml:space="preserve">annual-energy estimate</w:t>
            </w:r>
          </w:p>
        </w:tc>
      </w:tr>
      <w:tr>
        <w:tc>
          <w:tcPr/>
          <w:p>
            <w:r>
              <w:t xml:space="preserve">major component warranty</w:t>
            </w:r>
          </w:p>
        </w:tc>
        <w:tc>
          <w:tcPr/>
          <w:p>
            <w:r>
              <w:t xml:space="preserve">12 years</w:t>
            </w:r>
          </w:p>
        </w:tc>
        <w:tc>
          <w:tcPr/>
          <w:p>
            <w:r>
              <w:t xml:space="preserve">gearbox and generator</w:t>
            </w:r>
          </w:p>
        </w:tc>
      </w:tr>
    </w:tbl>
    <w:p>
      <w:r>
        <w:t xml:space="preserve">Expected annual energy uses 8,760 hours per year and no additional availability multiplier.</w:t>
      </w:r>
    </w:p>
    <w:p>
      <w:r>
        <w:t xml:space="preserve">Signed by both purchaser and vendor on 2026-06-20.</w:t>
      </w:r>
    </w:p>
    <w:sectPr/>
  </w:body>
</w:document>
</file>