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spacing w:before="0" w:after="40" w:line="260" w:lineRule="auto"/>
      </w:pPr>
      <w:r>
        <w:rPr>
          <w:rFonts w:ascii="Times New Roman" w:hAnsi="Times New Roman" w:cs="Times New Roman"/>
          <w:color w:val="000000"/>
          <w:sz w:val="24"/>
          <w:b/>
        </w:rPr>
        <w:t xml:space="preserve">VIT-AP UNIVERSITY · SCHOOL OF COMPUTER SCIENCE &amp; ENGINEERING</w:t>
      </w:r>
    </w:p>
    <w:p>
      <w:pPr>
        <w:jc w:val="center"/>
        <w:spacing w:before="0" w:after="60" w:line="260" w:lineRule="auto"/>
      </w:pPr>
      <w:r>
        <w:rPr>
          <w:rFonts w:ascii="Times New Roman" w:hAnsi="Times New Roman" w:cs="Times New Roman"/>
          <w:color w:val="000000"/>
          <w:sz w:val="30"/>
          <w:b/>
        </w:rPr>
        <w:t xml:space="preserve">PROJECT-BASED COMPONENT (PBC) CAPSTONE PRESENTATION</w:t>
      </w:r>
    </w:p>
    <w:p>
      <w:pPr>
        <w:jc w:val="center"/>
        <w:spacing w:before="0" w:after="120" w:line="260" w:lineRule="auto"/>
      </w:pPr>
      <w:r>
        <w:rPr>
          <w:rFonts w:ascii="Times New Roman" w:hAnsi="Times New Roman" w:cs="Times New Roman"/>
          <w:color w:val="000000"/>
          <w:sz w:val="24"/>
          <w:i/>
        </w:rPr>
        <w:t xml:space="preserve">30-Minute Team Presentation Script &amp; Evaluator Defense Guide</w:t>
      </w:r>
    </w:p>
    <w:p>
      <w:pPr>
        <w:jc w:val="center"/>
        <w:spacing w:before="0" w:after="40" w:line="260" w:lineRule="auto"/>
      </w:pPr>
      <w:r>
        <w:rPr>
          <w:rFonts w:ascii="Times New Roman" w:hAnsi="Times New Roman" w:cs="Times New Roman"/>
          <w:color w:val="000000"/>
          <w:sz w:val="26"/>
          <w:b/>
        </w:rPr>
        <w:t xml:space="preserve">Project Title: Hybrid Cloud and Distributed Ledger E-Voting System</w:t>
      </w:r>
    </w:p>
    <w:p>
      <w:pPr>
        <w:jc w:val="center"/>
        <w:spacing w:before="0" w:after="180" w:line="260" w:lineRule="auto"/>
      </w:pPr>
      <w:r>
        <w:rPr>
          <w:rFonts w:ascii="Times New Roman" w:hAnsi="Times New Roman" w:cs="Times New Roman"/>
          <w:color w:val="000000"/>
          <w:sz w:val="22"/>
        </w:rPr>
        <w:t xml:space="preserve">Guide: Dr. Nagendra Panini Challa | Academic Year 2025–2026</w:t>
      </w:r>
    </w:p>
    <w:p>
      <w:pPr>
        <w:pStyle w:val="Heading2"/>
        <w:spacing w:before="220" w:after="60"/>
        <w:jc w:val="left"/>
      </w:pPr>
      <w:r>
        <w:rPr>
          <w:rFonts w:ascii="Times New Roman" w:hAnsi="Times New Roman" w:cs="Times New Roman"/>
          <w:b/>
          <w:color w:val="000000"/>
          <w:sz w:val="24"/>
        </w:rPr>
        <w:t>1. 30-Minute Time Budget &amp; Role Division</w:t>
      </w:r>
    </w:p>
    <w:tbl>
      <w:tblPr>
        <w:tblW w:w="9360" w:type="dxa"/>
        <w:jc w:val="center"/>
        <w:tblBorders>
          <w:top w:val="single" w:sz="8" w:space="0" w:color="000000"/>
          <w:bottom w:val="single" w:sz="8" w:space="0" w:color="000000"/>
          <w:left w:val="single" w:sz="8" w:space="0" w:color="000000"/>
          <w:right w:val="single" w:sz="8" w:space="0" w:color="000000"/>
          <w:insideH w:val="single" w:sz="4" w:space="0" w:color="000000"/>
          <w:insideV w:val="single" w:sz="4" w:space="0" w:color="000000"/>
        </w:tblBorders>
      </w:tblPr>
      <w:tblGrid>
        <w:gridCol w:w="1400"/>
        <w:gridCol w:w="2400"/>
        <w:gridCol w:w="3760"/>
        <w:gridCol w:w="1800"/>
      </w:tblGrid>
      <w:tr>
        <w:trPr>
          <w:tblHeader/>
        </w:trPr>
        <w:tc>
          <w:tcPr>
            <w:tcW w:w="1400" w:type="dxa"/>
            <w:shd w:val="clear" w:color="auto" w:fill="E5E7EB"/>
            <w:tcMar>
              <w:top w:w="100"/>
              <w:bottom w:w="100"/>
              <w:left w:w="120"/>
              <w:right w:w="120"/>
            </w:tcMar>
          </w:tcPr>
          <w:p>
            <w:pPr>
              <w:spacing w:before="0" w:after="0"/>
              <w:jc w:val="center"/>
            </w:pPr>
            <w:r>
              <w:rPr>
                <w:rFonts w:ascii="Times New Roman" w:hAnsi="Times New Roman" w:cs="Times New Roman"/>
                <w:b/>
                <w:color w:val="000000"/>
                <w:sz w:val="21"/>
              </w:rPr>
              <w:t>Speaker</w:t>
            </w:r>
          </w:p>
        </w:tc>
        <w:tc>
          <w:tcPr>
            <w:tcW w:w="2400" w:type="dxa"/>
            <w:shd w:val="clear" w:color="auto" w:fill="E5E7EB"/>
            <w:tcMar>
              <w:top w:w="100"/>
              <w:bottom w:w="100"/>
              <w:left w:w="120"/>
              <w:right w:w="120"/>
            </w:tcMar>
          </w:tcPr>
          <w:p>
            <w:pPr>
              <w:spacing w:before="0" w:after="0"/>
              <w:jc w:val="center"/>
            </w:pPr>
            <w:r>
              <w:rPr>
                <w:rFonts w:ascii="Times New Roman" w:hAnsi="Times New Roman" w:cs="Times New Roman"/>
                <w:b/>
                <w:color w:val="000000"/>
                <w:sz w:val="21"/>
              </w:rPr>
              <w:t>Student Details</w:t>
            </w:r>
          </w:p>
        </w:tc>
        <w:tc>
          <w:tcPr>
            <w:tcW w:w="3760" w:type="dxa"/>
            <w:shd w:val="clear" w:color="auto" w:fill="E5E7EB"/>
            <w:tcMar>
              <w:top w:w="100"/>
              <w:bottom w:w="100"/>
              <w:left w:w="120"/>
              <w:right w:w="120"/>
            </w:tcMar>
          </w:tcPr>
          <w:p>
            <w:pPr>
              <w:spacing w:before="0" w:after="0"/>
              <w:jc w:val="center"/>
            </w:pPr>
            <w:r>
              <w:rPr>
                <w:rFonts w:ascii="Times New Roman" w:hAnsi="Times New Roman" w:cs="Times New Roman"/>
                <w:b/>
                <w:color w:val="000000"/>
                <w:sz w:val="21"/>
              </w:rPr>
              <w:t>Core Technical Domain</w:t>
            </w:r>
          </w:p>
        </w:tc>
        <w:tc>
          <w:tcPr>
            <w:tcW w:w="1800" w:type="dxa"/>
            <w:shd w:val="clear" w:color="auto" w:fill="E5E7EB"/>
            <w:tcMar>
              <w:top w:w="100"/>
              <w:bottom w:w="100"/>
              <w:left w:w="120"/>
              <w:right w:w="120"/>
            </w:tcMar>
          </w:tcPr>
          <w:p>
            <w:pPr>
              <w:spacing w:before="0" w:after="0"/>
              <w:jc w:val="center"/>
            </w:pPr>
            <w:r>
              <w:rPr>
                <w:rFonts w:ascii="Times New Roman" w:hAnsi="Times New Roman" w:cs="Times New Roman"/>
                <w:b/>
                <w:color w:val="000000"/>
                <w:sz w:val="21"/>
              </w:rPr>
              <w:t>Time Allotted</w:t>
            </w:r>
          </w:p>
        </w:tc>
      </w:tr>
      <w:tr>
        <w:tc>
          <w:tcPr>
            <w:tcW w:w="1400" w:type="dxa"/>
            <w:shd w:val="clear" w:color="auto" w:fill="FFFFFF"/>
            <w:tcMar>
              <w:top w:w="80"/>
              <w:bottom w:w="80"/>
              <w:left w:w="120"/>
              <w:right w:w="120"/>
            </w:tcMar>
          </w:tcPr>
          <w:p>
            <w:pPr>
              <w:spacing w:before="0" w:after="0"/>
              <w:jc w:val="center"/>
            </w:pPr>
            <w:r>
              <w:rPr>
                <w:rFonts w:ascii="Times New Roman" w:hAnsi="Times New Roman" w:cs="Times New Roman"/>
                <w:sz w:val="21"/>
                <w:color w:val="000000"/>
              </w:rPr>
              <w:t>Speaker 1</w:t>
            </w:r>
          </w:p>
        </w:tc>
        <w:tc>
          <w:tcPr>
            <w:tcW w:w="2400" w:type="dxa"/>
            <w:shd w:val="clear" w:color="auto" w:fill="FFFFFF"/>
            <w:tcMar>
              <w:top w:w="80"/>
              <w:bottom w:w="80"/>
              <w:left w:w="120"/>
              <w:right w:w="120"/>
            </w:tcMar>
          </w:tcPr>
          <w:p>
            <w:pPr>
              <w:spacing w:before="0" w:after="0"/>
              <w:jc w:val="left"/>
            </w:pPr>
            <w:r>
              <w:rPr>
                <w:rFonts w:ascii="Times New Roman" w:hAnsi="Times New Roman" w:cs="Times New Roman"/>
                <w:sz w:val="21"/>
                <w:color w:val="000000"/>
              </w:rPr>
              <w:t>Student-1 (22BCE8319 / 24MIC7027)</w:t>
            </w:r>
          </w:p>
        </w:tc>
        <w:tc>
          <w:tcPr>
            <w:tcW w:w="3760" w:type="dxa"/>
            <w:shd w:val="clear" w:color="auto" w:fill="FFFFFF"/>
            <w:tcMar>
              <w:top w:w="80"/>
              <w:bottom w:w="80"/>
              <w:left w:w="120"/>
              <w:right w:w="120"/>
            </w:tcMar>
          </w:tcPr>
          <w:p>
            <w:pPr>
              <w:spacing w:before="0" w:after="0"/>
              <w:jc w:val="left"/>
            </w:pPr>
            <w:r>
              <w:rPr>
                <w:rFonts w:ascii="Times New Roman" w:hAnsi="Times New Roman" w:cs="Times New Roman"/>
                <w:sz w:val="21"/>
                <w:color w:val="000000"/>
              </w:rPr>
              <w:t>Introduction, Problem Statement, Motivation &amp; Literature Review</w:t>
            </w:r>
          </w:p>
        </w:tc>
        <w:tc>
          <w:tcPr>
            <w:tcW w:w="1800" w:type="dxa"/>
            <w:shd w:val="clear" w:color="auto" w:fill="FFFFFF"/>
            <w:tcMar>
              <w:top w:w="80"/>
              <w:bottom w:w="80"/>
              <w:left w:w="120"/>
              <w:right w:w="120"/>
            </w:tcMar>
          </w:tcPr>
          <w:p>
            <w:pPr>
              <w:spacing w:before="0" w:after="0"/>
              <w:jc w:val="left"/>
            </w:pPr>
            <w:r>
              <w:rPr>
                <w:rFonts w:ascii="Times New Roman" w:hAnsi="Times New Roman" w:cs="Times New Roman"/>
                <w:sz w:val="21"/>
                <w:color w:val="000000"/>
              </w:rPr>
              <w:t>00:00 – 07:00 (7 min)</w:t>
            </w:r>
          </w:p>
        </w:tc>
      </w:tr>
      <w:tr>
        <w:tc>
          <w:tcPr>
            <w:tcW w:w="1400" w:type="dxa"/>
            <w:shd w:val="clear" w:color="auto" w:fill="FFFFFF"/>
            <w:tcMar>
              <w:top w:w="80"/>
              <w:bottom w:w="80"/>
              <w:left w:w="120"/>
              <w:right w:w="120"/>
            </w:tcMar>
          </w:tcPr>
          <w:p>
            <w:pPr>
              <w:spacing w:before="0" w:after="0"/>
              <w:jc w:val="center"/>
            </w:pPr>
            <w:r>
              <w:rPr>
                <w:rFonts w:ascii="Times New Roman" w:hAnsi="Times New Roman" w:cs="Times New Roman"/>
                <w:sz w:val="21"/>
                <w:color w:val="000000"/>
              </w:rPr>
              <w:t>Speaker 2</w:t>
            </w:r>
          </w:p>
        </w:tc>
        <w:tc>
          <w:tcPr>
            <w:tcW w:w="2400" w:type="dxa"/>
            <w:shd w:val="clear" w:color="auto" w:fill="FFFFFF"/>
            <w:tcMar>
              <w:top w:w="80"/>
              <w:bottom w:w="80"/>
              <w:left w:w="120"/>
              <w:right w:w="120"/>
            </w:tcMar>
          </w:tcPr>
          <w:p>
            <w:pPr>
              <w:spacing w:before="0" w:after="0"/>
              <w:jc w:val="left"/>
            </w:pPr>
            <w:r>
              <w:rPr>
                <w:rFonts w:ascii="Times New Roman" w:hAnsi="Times New Roman" w:cs="Times New Roman"/>
                <w:sz w:val="21"/>
                <w:color w:val="000000"/>
              </w:rPr>
              <w:t>Student-2 (22BEC8319 / 24MIC7307)</w:t>
            </w:r>
          </w:p>
        </w:tc>
        <w:tc>
          <w:tcPr>
            <w:tcW w:w="3760" w:type="dxa"/>
            <w:shd w:val="clear" w:color="auto" w:fill="FFFFFF"/>
            <w:tcMar>
              <w:top w:w="80"/>
              <w:bottom w:w="80"/>
              <w:left w:w="120"/>
              <w:right w:w="120"/>
            </w:tcMar>
          </w:tcPr>
          <w:p>
            <w:pPr>
              <w:spacing w:before="0" w:after="0"/>
              <w:jc w:val="left"/>
            </w:pPr>
            <w:r>
              <w:rPr>
                <w:rFonts w:ascii="Times New Roman" w:hAnsi="Times New Roman" w:cs="Times New Roman"/>
                <w:sz w:val="21"/>
                <w:color w:val="000000"/>
              </w:rPr>
              <w:t>System Architecture, Hedera Hashgraph aBFT &amp; Technology Stack</w:t>
            </w:r>
          </w:p>
        </w:tc>
        <w:tc>
          <w:tcPr>
            <w:tcW w:w="1800" w:type="dxa"/>
            <w:shd w:val="clear" w:color="auto" w:fill="FFFFFF"/>
            <w:tcMar>
              <w:top w:w="80"/>
              <w:bottom w:w="80"/>
              <w:left w:w="120"/>
              <w:right w:w="120"/>
            </w:tcMar>
          </w:tcPr>
          <w:p>
            <w:pPr>
              <w:spacing w:before="0" w:after="0"/>
              <w:jc w:val="left"/>
            </w:pPr>
            <w:r>
              <w:rPr>
                <w:rFonts w:ascii="Times New Roman" w:hAnsi="Times New Roman" w:cs="Times New Roman"/>
                <w:sz w:val="21"/>
                <w:color w:val="000000"/>
              </w:rPr>
              <w:t>07:00 – 14:00 (7 min)</w:t>
            </w:r>
          </w:p>
        </w:tc>
      </w:tr>
      <w:tr>
        <w:tc>
          <w:tcPr>
            <w:tcW w:w="1400" w:type="dxa"/>
            <w:shd w:val="clear" w:color="auto" w:fill="FFFFFF"/>
            <w:tcMar>
              <w:top w:w="80"/>
              <w:bottom w:w="80"/>
              <w:left w:w="120"/>
              <w:right w:w="120"/>
            </w:tcMar>
          </w:tcPr>
          <w:p>
            <w:pPr>
              <w:spacing w:before="0" w:after="0"/>
              <w:jc w:val="center"/>
            </w:pPr>
            <w:r>
              <w:rPr>
                <w:rFonts w:ascii="Times New Roman" w:hAnsi="Times New Roman" w:cs="Times New Roman"/>
                <w:sz w:val="21"/>
                <w:color w:val="000000"/>
              </w:rPr>
              <w:t>Speaker 3</w:t>
            </w:r>
          </w:p>
        </w:tc>
        <w:tc>
          <w:tcPr>
            <w:tcW w:w="2400" w:type="dxa"/>
            <w:shd w:val="clear" w:color="auto" w:fill="FFFFFF"/>
            <w:tcMar>
              <w:top w:w="80"/>
              <w:bottom w:w="80"/>
              <w:left w:w="120"/>
              <w:right w:w="120"/>
            </w:tcMar>
          </w:tcPr>
          <w:p>
            <w:pPr>
              <w:spacing w:before="0" w:after="0"/>
              <w:jc w:val="left"/>
            </w:pPr>
            <w:r>
              <w:rPr>
                <w:rFonts w:ascii="Times New Roman" w:hAnsi="Times New Roman" w:cs="Times New Roman"/>
                <w:sz w:val="21"/>
                <w:color w:val="000000"/>
              </w:rPr>
              <w:t>Student-3 (22BCE8506 / 24MIC7302)</w:t>
            </w:r>
          </w:p>
        </w:tc>
        <w:tc>
          <w:tcPr>
            <w:tcW w:w="3760" w:type="dxa"/>
            <w:shd w:val="clear" w:color="auto" w:fill="FFFFFF"/>
            <w:tcMar>
              <w:top w:w="80"/>
              <w:bottom w:w="80"/>
              <w:left w:w="120"/>
              <w:right w:w="120"/>
            </w:tcMar>
          </w:tcPr>
          <w:p>
            <w:pPr>
              <w:spacing w:before="0" w:after="0"/>
              <w:jc w:val="left"/>
            </w:pPr>
            <w:r>
              <w:rPr>
                <w:rFonts w:ascii="Times New Roman" w:hAnsi="Times New Roman" w:cs="Times New Roman"/>
                <w:sz w:val="21"/>
                <w:color w:val="000000"/>
              </w:rPr>
              <w:t>Concurrency Control, Atomic Claim Algorithm &amp; Live System Demo</w:t>
            </w:r>
          </w:p>
        </w:tc>
        <w:tc>
          <w:tcPr>
            <w:tcW w:w="1800" w:type="dxa"/>
            <w:shd w:val="clear" w:color="auto" w:fill="FFFFFF"/>
            <w:tcMar>
              <w:top w:w="80"/>
              <w:bottom w:w="80"/>
              <w:left w:w="120"/>
              <w:right w:w="120"/>
            </w:tcMar>
          </w:tcPr>
          <w:p>
            <w:pPr>
              <w:spacing w:before="0" w:after="0"/>
              <w:jc w:val="left"/>
            </w:pPr>
            <w:r>
              <w:rPr>
                <w:rFonts w:ascii="Times New Roman" w:hAnsi="Times New Roman" w:cs="Times New Roman"/>
                <w:sz w:val="21"/>
                <w:color w:val="000000"/>
              </w:rPr>
              <w:t>14:00 – 22:00 (8 min)</w:t>
            </w:r>
          </w:p>
        </w:tc>
      </w:tr>
      <w:tr>
        <w:tc>
          <w:tcPr>
            <w:tcW w:w="1400" w:type="dxa"/>
            <w:shd w:val="clear" w:color="auto" w:fill="FFFFFF"/>
            <w:tcMar>
              <w:top w:w="80"/>
              <w:bottom w:w="80"/>
              <w:left w:w="120"/>
              <w:right w:w="120"/>
            </w:tcMar>
          </w:tcPr>
          <w:p>
            <w:pPr>
              <w:spacing w:before="0" w:after="0"/>
              <w:jc w:val="center"/>
            </w:pPr>
            <w:r>
              <w:rPr>
                <w:rFonts w:ascii="Times New Roman" w:hAnsi="Times New Roman" w:cs="Times New Roman"/>
                <w:sz w:val="21"/>
                <w:color w:val="000000"/>
              </w:rPr>
              <w:t>Speaker 4</w:t>
            </w:r>
          </w:p>
        </w:tc>
        <w:tc>
          <w:tcPr>
            <w:tcW w:w="2400" w:type="dxa"/>
            <w:shd w:val="clear" w:color="auto" w:fill="FFFFFF"/>
            <w:tcMar>
              <w:top w:w="80"/>
              <w:bottom w:w="80"/>
              <w:left w:w="120"/>
              <w:right w:w="120"/>
            </w:tcMar>
          </w:tcPr>
          <w:p>
            <w:pPr>
              <w:spacing w:before="0" w:after="0"/>
              <w:jc w:val="left"/>
            </w:pPr>
            <w:r>
              <w:rPr>
                <w:rFonts w:ascii="Times New Roman" w:hAnsi="Times New Roman" w:cs="Times New Roman"/>
                <w:sz w:val="21"/>
                <w:color w:val="000000"/>
              </w:rPr>
              <w:t>Student-4 (22BCE8947 / 24MIC7348)</w:t>
            </w:r>
          </w:p>
        </w:tc>
        <w:tc>
          <w:tcPr>
            <w:tcW w:w="3760" w:type="dxa"/>
            <w:shd w:val="clear" w:color="auto" w:fill="FFFFFF"/>
            <w:tcMar>
              <w:top w:w="80"/>
              <w:bottom w:w="80"/>
              <w:left w:w="120"/>
              <w:right w:w="120"/>
            </w:tcMar>
          </w:tcPr>
          <w:p>
            <w:pPr>
              <w:spacing w:before="0" w:after="0"/>
              <w:jc w:val="left"/>
            </w:pPr>
            <w:r>
              <w:rPr>
                <w:rFonts w:ascii="Times New Roman" w:hAnsi="Times New Roman" w:cs="Times New Roman"/>
                <w:sz w:val="21"/>
                <w:color w:val="000000"/>
              </w:rPr>
              <w:t>Benchmarks, STRIDE Threat Modeling, Limitations &amp; Roadmap</w:t>
            </w:r>
          </w:p>
        </w:tc>
        <w:tc>
          <w:tcPr>
            <w:tcW w:w="1800" w:type="dxa"/>
            <w:shd w:val="clear" w:color="auto" w:fill="FFFFFF"/>
            <w:tcMar>
              <w:top w:w="80"/>
              <w:bottom w:w="80"/>
              <w:left w:w="120"/>
              <w:right w:w="120"/>
            </w:tcMar>
          </w:tcPr>
          <w:p>
            <w:pPr>
              <w:spacing w:before="0" w:after="0"/>
              <w:jc w:val="left"/>
            </w:pPr>
            <w:r>
              <w:rPr>
                <w:rFonts w:ascii="Times New Roman" w:hAnsi="Times New Roman" w:cs="Times New Roman"/>
                <w:sz w:val="21"/>
                <w:color w:val="000000"/>
              </w:rPr>
              <w:t>22:00 – 29:00 (7 min)</w:t>
            </w:r>
          </w:p>
        </w:tc>
      </w:tr>
      <w:tr>
        <w:tc>
          <w:tcPr>
            <w:tcW w:w="1400" w:type="dxa"/>
            <w:shd w:val="clear" w:color="auto" w:fill="FFFFFF"/>
            <w:tcMar>
              <w:top w:w="80"/>
              <w:bottom w:w="80"/>
              <w:left w:w="120"/>
              <w:right w:w="120"/>
            </w:tcMar>
          </w:tcPr>
          <w:p>
            <w:pPr>
              <w:spacing w:before="0" w:after="0"/>
              <w:jc w:val="center"/>
            </w:pPr>
            <w:r>
              <w:rPr>
                <w:rFonts w:ascii="Times New Roman" w:hAnsi="Times New Roman" w:cs="Times New Roman"/>
                <w:sz w:val="21"/>
                <w:color w:val="000000"/>
              </w:rPr>
              <w:t>All Team</w:t>
            </w:r>
          </w:p>
        </w:tc>
        <w:tc>
          <w:tcPr>
            <w:tcW w:w="2400" w:type="dxa"/>
            <w:shd w:val="clear" w:color="auto" w:fill="FFFFFF"/>
            <w:tcMar>
              <w:top w:w="80"/>
              <w:bottom w:w="80"/>
              <w:left w:w="120"/>
              <w:right w:w="120"/>
            </w:tcMar>
          </w:tcPr>
          <w:p>
            <w:pPr>
              <w:spacing w:before="0" w:after="0"/>
              <w:jc w:val="left"/>
            </w:pPr>
            <w:r>
              <w:rPr>
                <w:rFonts w:ascii="Times New Roman" w:hAnsi="Times New Roman" w:cs="Times New Roman"/>
                <w:sz w:val="21"/>
                <w:color w:val="000000"/>
              </w:rPr>
              <w:t>Entire 4-Person Panel</w:t>
            </w:r>
          </w:p>
        </w:tc>
        <w:tc>
          <w:tcPr>
            <w:tcW w:w="3760" w:type="dxa"/>
            <w:shd w:val="clear" w:color="auto" w:fill="FFFFFF"/>
            <w:tcMar>
              <w:top w:w="80"/>
              <w:bottom w:w="80"/>
              <w:left w:w="120"/>
              <w:right w:w="120"/>
            </w:tcMar>
          </w:tcPr>
          <w:p>
            <w:pPr>
              <w:spacing w:before="0" w:after="0"/>
              <w:jc w:val="left"/>
            </w:pPr>
            <w:r>
              <w:rPr>
                <w:rFonts w:ascii="Times New Roman" w:hAnsi="Times New Roman" w:cs="Times New Roman"/>
                <w:sz w:val="21"/>
                <w:color w:val="000000"/>
              </w:rPr>
              <w:t>Team Conclusion, Acknowledgements &amp; Panel Defense Q&amp;A</w:t>
            </w:r>
          </w:p>
        </w:tc>
        <w:tc>
          <w:tcPr>
            <w:tcW w:w="1800" w:type="dxa"/>
            <w:shd w:val="clear" w:color="auto" w:fill="FFFFFF"/>
            <w:tcMar>
              <w:top w:w="80"/>
              <w:bottom w:w="80"/>
              <w:left w:w="120"/>
              <w:right w:w="120"/>
            </w:tcMar>
          </w:tcPr>
          <w:p>
            <w:pPr>
              <w:spacing w:before="0" w:after="0"/>
              <w:jc w:val="left"/>
            </w:pPr>
            <w:r>
              <w:rPr>
                <w:rFonts w:ascii="Times New Roman" w:hAnsi="Times New Roman" w:cs="Times New Roman"/>
                <w:sz w:val="21"/>
                <w:color w:val="000000"/>
              </w:rPr>
              <w:t>29:00 – 30:00+</w:t>
            </w:r>
          </w:p>
        </w:tc>
      </w:tr>
    </w:tbl>
    <w:p>
      <w:pPr>
        <w:jc w:val="left"/>
        <w:spacing w:before="0" w:after="120" w:line="260" w:lineRule="auto"/>
      </w:pPr>
    </w:p>
    <w:p>
      <w:pPr>
        <w:pStyle w:val="Heading2"/>
        <w:spacing w:before="220" w:after="60"/>
        <w:jc w:val="left"/>
      </w:pPr>
      <w:r>
        <w:rPr>
          <w:rFonts w:ascii="Times New Roman" w:hAnsi="Times New Roman" w:cs="Times New Roman"/>
          <w:b/>
          <w:color w:val="000000"/>
          <w:sz w:val="24"/>
        </w:rPr>
        <w:t>2. Presentation Delivery &amp; Stage Presence Guidelines</w:t>
      </w:r>
    </w:p>
    <w:p>
      <w:pPr>
        <w:jc w:val="left"/>
        <w:spacing w:before="0" w:after="80" w:line="260" w:lineRule="auto"/>
      </w:pPr>
      <w:r>
        <w:rPr>
          <w:rFonts w:ascii="Times New Roman" w:hAnsi="Times New Roman" w:cs="Times New Roman"/>
          <w:color w:val="000000"/>
          <w:sz w:val="22"/>
        </w:rPr>
        <w:t xml:space="preserve">• Pacing: Maintain a measured speaking speed of ~130 words per minute. Do not rush technical figures.</w:t>
      </w:r>
    </w:p>
    <w:p>
      <w:pPr>
        <w:jc w:val="left"/>
        <w:spacing w:before="0" w:after="80" w:line="260" w:lineRule="auto"/>
      </w:pPr>
      <w:r>
        <w:rPr>
          <w:rFonts w:ascii="Times New Roman" w:hAnsi="Times New Roman" w:cs="Times New Roman"/>
          <w:color w:val="000000"/>
          <w:sz w:val="22"/>
        </w:rPr>
        <w:t xml:space="preserve">• Eye Contact: Direct your attention toward Dr. Nagendra Panini Challa and the evaluation jury.</w:t>
      </w:r>
    </w:p>
    <w:p>
      <w:pPr>
        <w:jc w:val="left"/>
        <w:spacing w:before="0" w:after="80" w:line="260" w:lineRule="auto"/>
      </w:pPr>
      <w:r>
        <w:rPr>
          <w:rFonts w:ascii="Times New Roman" w:hAnsi="Times New Roman" w:cs="Times New Roman"/>
          <w:color w:val="000000"/>
          <w:sz w:val="22"/>
        </w:rPr>
        <w:t xml:space="preserve">• Transitions: Explicitly hand over to the next speaker by name and summarize what they will demonstrate.</w:t>
      </w:r>
    </w:p>
    <w:p>
      <w:pPr>
        <w:jc w:val="left"/>
        <w:spacing w:before="0" w:after="80" w:line="260" w:lineRule="auto"/>
      </w:pPr>
      <w:r>
        <w:rPr>
          <w:rFonts w:ascii="Times New Roman" w:hAnsi="Times New Roman" w:cs="Times New Roman"/>
          <w:color w:val="000000"/>
          <w:sz w:val="22"/>
        </w:rPr>
        <w:t xml:space="preserve">• Code &amp; Demo: Point physically to the projector screen when highlighting key lines like findOneAndUpdate.</w:t>
      </w:r>
    </w:p>
    <w:p>
      <w:pPr>
        <w:spacing w:before="0" w:after="0"/>
      </w:pPr>
      <w:r>
        <w:br w:type="page"/>
      </w:r>
    </w:p>
    <w:p>
      <w:pPr>
        <w:pStyle w:val="Heading1"/>
        <w:spacing w:before="300" w:after="100"/>
        <w:jc w:val="left"/>
      </w:pPr>
      <w:r>
        <w:rPr>
          <w:rFonts w:ascii="Times New Roman" w:hAnsi="Times New Roman" w:cs="Times New Roman"/>
          <w:b/>
          <w:color w:val="000000"/>
          <w:sz w:val="28"/>
        </w:rPr>
        <w:t>SPEAKER 1: INTRODUCTION, PROBLEM DOMAIN &amp; LITERATURE REVIEW</w:t>
      </w:r>
    </w:p>
    <w:p>
      <w:pPr>
        <w:jc w:val="left"/>
        <w:spacing w:before="0" w:after="120" w:line="260" w:lineRule="auto"/>
      </w:pPr>
      <w:r>
        <w:rPr>
          <w:rFonts w:ascii="Times New Roman" w:hAnsi="Times New Roman" w:cs="Times New Roman"/>
          <w:color w:val="000000"/>
          <w:sz w:val="20"/>
          <w:i/>
        </w:rPr>
        <w:t xml:space="preserve">Time Budget: 00:00 – 07:00 (7 Minutes) | Target Word Count: ~850 words</w:t>
      </w:r>
    </w:p>
    <w:tbl>
      <w:tblPr>
        <w:tblW w:w="9360" w:type="dxa"/>
        <w:jc w:val="center"/>
        <w:tblBorders>
          <w:top w:val="single" w:sz="12" w:space="0" w:color="000000"/>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E5E7EB"/>
            <w:tcMar>
              <w:top w:w="120"/>
              <w:bottom w:w="100"/>
              <w:left w:w="160"/>
              <w:right w:w="160"/>
            </w:tcMar>
          </w:tcPr>
          <w:p>
            <w:pPr>
              <w:spacing w:before="0" w:after="0"/>
              <w:jc w:val="left"/>
            </w:pPr>
            <w:r>
              <w:rPr>
                <w:rFonts w:ascii="Times New Roman" w:hAnsi="Times New Roman" w:cs="Times New Roman"/>
                <w:b/>
                <w:sz w:val="22"/>
                <w:color w:val="000000"/>
              </w:rPr>
              <w:t xml:space="preserve">🎤 Speaker 1 (Student-1) — 00:00 to 02:00</w:t>
            </w:r>
          </w:p>
        </w:tc>
      </w:tr>
    </w:tbl>
    <w:tbl>
      <w:tblPr>
        <w:tblW w:w="9360" w:type="dxa"/>
        <w:jc w:val="center"/>
        <w:tblBorders>
          <w:top w:val="none"/>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F3F4F6"/>
            <w:tcMar>
              <w:top w:w="80"/>
              <w:bottom w:w="80"/>
              <w:left w:w="160"/>
              <w:right w:w="160"/>
            </w:tcMar>
          </w:tcPr>
          <w:p>
            <w:pPr>
              <w:spacing w:before="0" w:after="0"/>
              <w:jc w:val="left"/>
            </w:pPr>
            <w:r>
              <w:rPr>
                <w:rFonts w:ascii="Times New Roman" w:hAnsi="Times New Roman" w:cs="Times New Roman"/>
                <w:b/>
                <w:sz w:val="20"/>
                <w:color w:val="000000"/>
              </w:rPr>
              <w:t xml:space="preserve">🖥️ Slide 1 &amp; 2: Title Slide, Formal Greeting &amp; The Centralized Database Trust Dilemma</w:t>
            </w:r>
          </w:p>
        </w:tc>
      </w:tr>
    </w:tbl>
    <w:tbl>
      <w:tblPr>
        <w:tblW w:w="9360" w:type="dxa"/>
        <w:jc w:val="center"/>
        <w:tblBorders>
          <w:top w:val="none"/>
          <w:bottom w:val="single" w:sz="12" w:space="0" w:color="000000"/>
          <w:left w:val="single" w:sz="12" w:space="0" w:color="000000"/>
          <w:right w:val="single" w:sz="12" w:space="0" w:color="000000"/>
          <w:insideH w:val="none"/>
          <w:insideV w:val="none"/>
        </w:tblBorders>
      </w:tblPr>
      <w:tblGrid>
        <w:gridCol w:w="9360"/>
      </w:tblGrid>
      <w:tr>
        <w:tc>
          <w:tcPr>
            <w:tcW w:w="9360" w:type="dxa"/>
            <w:shd w:val="clear" w:color="auto" w:fill="FFFFFF"/>
            <w:tcMar>
              <w:top w:w="120"/>
              <w:bottom w:w="120"/>
              <w:left w:w="160"/>
              <w:right w:w="160"/>
            </w:tcMar>
          </w:tcPr>
          <w:p>
            <w:pPr>
              <w:spacing w:before="0" w:after="80"/>
              <w:jc w:val="left"/>
            </w:pPr>
            <w:r>
              <w:rPr>
                <w:rFonts w:ascii="Times New Roman" w:hAnsi="Times New Roman" w:cs="Times New Roman"/>
                <w:i/>
                <w:b/>
                <w:sz w:val="20"/>
                <w:color w:val="374151"/>
              </w:rPr>
              <w:t xml:space="preserve">[Stage Cue: Stand tall at center stage. Greet Dr. Nagendra Panini Challa and the panel with confident eye contact.]</w:t>
            </w:r>
          </w:p>
          <w:p>
            <w:pPr>
              <w:spacing w:before="0" w:after="80" w:line="276" w:lineRule="auto"/>
              <w:jc w:val="both"/>
            </w:pPr>
            <w:r>
              <w:rPr>
                <w:rFonts w:ascii="Times New Roman" w:hAnsi="Times New Roman" w:cs="Times New Roman"/>
                <w:sz w:val="22"/>
                <w:color w:val="000000"/>
              </w:rPr>
              <w:t xml:space="preserve">"A very pleasant morning to our respected guide, Dr. Nagendra Panini Challa, and to the honorable panel of evaluators. Today, my teammates and I are proud to present our Project-Based Component capstone project: 'Hybrid Cloud and Distributed Ledger E-Voting System: A Blockchain-Based Secure Electronic Voting Platform using the Hedera Consensus Service'. My name is [Your Name], and alongside my teammates [Speaker 2], [Speaker 3], and [Speaker 4], we will walk you through the motivation, architectural design, implementation, and rigorous security benchmarking of our platform."</w:t>
            </w:r>
          </w:p>
          <w:p>
            <w:pPr>
              <w:spacing w:before="0" w:after="80" w:line="276" w:lineRule="auto"/>
              <w:jc w:val="both"/>
            </w:pPr>
            <w:r>
              <w:rPr>
                <w:rFonts w:ascii="Times New Roman" w:hAnsi="Times New Roman" w:cs="Times New Roman"/>
                <w:sz w:val="22"/>
                <w:color w:val="000000"/>
              </w:rPr>
              <w:t xml:space="preserve">"Democratic elections are the cornerstone of institutional governance. Whether in collegiate councils, corporate shareholder voting, or municipal balloting, voters must be guaranteed that their ballots cannot be forged, manipulated, or erased. Over the past decade, institutions transitioned from physical paper to electronic web portals. While electronic voting accelerated counting, it created a catastrophic architectural vulnerability: Single-Point Centralized Authority."</w:t>
            </w:r>
          </w:p>
          <w:p>
            <w:pPr>
              <w:spacing w:before="0" w:after="80" w:line="276" w:lineRule="auto"/>
              <w:jc w:val="both"/>
            </w:pPr>
            <w:r>
              <w:rPr>
                <w:rFonts w:ascii="Times New Roman" w:hAnsi="Times New Roman" w:cs="Times New Roman"/>
                <w:sz w:val="22"/>
                <w:color w:val="000000"/>
              </w:rPr>
              <w:t xml:space="preserve">"In conventional architectures, ballots sit in a standard relational or document database. The database administrator, hosting provider, or an attacker who compromises root credentials possesses unrestricted write access. A single SQL UPDATE statement can alter thousands of votes, and server audit logs can be cleared without leaving a tamper-evident trace."</w:t>
            </w:r>
          </w:p>
        </w:tc>
      </w:tr>
    </w:tbl>
    <w:p>
      <w:pPr>
        <w:jc w:val="left"/>
        <w:spacing w:before="0" w:after="140" w:line="260" w:lineRule="auto"/>
      </w:pPr>
    </w:p>
    <w:tbl>
      <w:tblPr>
        <w:tblW w:w="9360" w:type="dxa"/>
        <w:jc w:val="center"/>
        <w:tblBorders>
          <w:top w:val="single" w:sz="12" w:space="0" w:color="000000"/>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E5E7EB"/>
            <w:tcMar>
              <w:top w:w="120"/>
              <w:bottom w:w="100"/>
              <w:left w:w="160"/>
              <w:right w:w="160"/>
            </w:tcMar>
          </w:tcPr>
          <w:p>
            <w:pPr>
              <w:spacing w:before="0" w:after="0"/>
              <w:jc w:val="left"/>
            </w:pPr>
            <w:r>
              <w:rPr>
                <w:rFonts w:ascii="Times New Roman" w:hAnsi="Times New Roman" w:cs="Times New Roman"/>
                <w:b/>
                <w:sz w:val="22"/>
                <w:color w:val="000000"/>
              </w:rPr>
              <w:t xml:space="preserve">🎤 Speaker 1 (Student-1) — 02:00 to 04:30</w:t>
            </w:r>
          </w:p>
        </w:tc>
      </w:tr>
    </w:tbl>
    <w:tbl>
      <w:tblPr>
        <w:tblW w:w="9360" w:type="dxa"/>
        <w:jc w:val="center"/>
        <w:tblBorders>
          <w:top w:val="none"/>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F3F4F6"/>
            <w:tcMar>
              <w:top w:w="80"/>
              <w:bottom w:w="80"/>
              <w:left w:w="160"/>
              <w:right w:w="160"/>
            </w:tcMar>
          </w:tcPr>
          <w:p>
            <w:pPr>
              <w:spacing w:before="0" w:after="0"/>
              <w:jc w:val="left"/>
            </w:pPr>
            <w:r>
              <w:rPr>
                <w:rFonts w:ascii="Times New Roman" w:hAnsi="Times New Roman" w:cs="Times New Roman"/>
                <w:b/>
                <w:sz w:val="20"/>
                <w:color w:val="000000"/>
              </w:rPr>
              <w:t xml:space="preserve">🖥️ Slide 3 &amp; 4: Why Pure Web3 Fails in Practice &amp; Introducing The Hybrid Web2.5 Paradigm</w:t>
            </w:r>
          </w:p>
        </w:tc>
      </w:tr>
    </w:tbl>
    <w:tbl>
      <w:tblPr>
        <w:tblW w:w="9360" w:type="dxa"/>
        <w:jc w:val="center"/>
        <w:tblBorders>
          <w:top w:val="none"/>
          <w:bottom w:val="single" w:sz="12" w:space="0" w:color="000000"/>
          <w:left w:val="single" w:sz="12" w:space="0" w:color="000000"/>
          <w:right w:val="single" w:sz="12" w:space="0" w:color="000000"/>
          <w:insideH w:val="none"/>
          <w:insideV w:val="none"/>
        </w:tblBorders>
      </w:tblPr>
      <w:tblGrid>
        <w:gridCol w:w="9360"/>
      </w:tblGrid>
      <w:tr>
        <w:tc>
          <w:tcPr>
            <w:tcW w:w="9360" w:type="dxa"/>
            <w:shd w:val="clear" w:color="auto" w:fill="FFFFFF"/>
            <w:tcMar>
              <w:top w:w="120"/>
              <w:bottom w:w="120"/>
              <w:left w:w="160"/>
              <w:right w:w="160"/>
            </w:tcMar>
          </w:tcPr>
          <w:p>
            <w:pPr>
              <w:spacing w:before="0" w:after="80"/>
              <w:jc w:val="left"/>
            </w:pPr>
            <w:r>
              <w:rPr>
                <w:rFonts w:ascii="Times New Roman" w:hAnsi="Times New Roman" w:cs="Times New Roman"/>
                <w:i/>
                <w:b/>
                <w:sz w:val="20"/>
                <w:color w:val="374151"/>
              </w:rPr>
              <w:t xml:space="preserve">[Stage Cue: Use contrasting hand gestures: left hand for Web2 flaws, right hand for Web3 friction, bringing hands together for Web2.5.]</w:t>
            </w:r>
          </w:p>
          <w:p>
            <w:pPr>
              <w:spacing w:before="0" w:after="80" w:line="276" w:lineRule="auto"/>
              <w:jc w:val="both"/>
            </w:pPr>
            <w:r>
              <w:rPr>
                <w:rFonts w:ascii="Times New Roman" w:hAnsi="Times New Roman" w:cs="Times New Roman"/>
                <w:sz w:val="22"/>
                <w:color w:val="000000"/>
              </w:rPr>
              <w:t xml:space="preserve">"Naturally, computer scientists looked toward decentralized blockchains like Ethereum to achieve immutability. But deploying purely decentralized Web3 dApps for general elections creates insurmountable friction in practice."</w:t>
            </w:r>
          </w:p>
          <w:p>
            <w:pPr>
              <w:spacing w:before="0" w:after="80" w:line="276" w:lineRule="auto"/>
              <w:jc w:val="both"/>
            </w:pPr>
            <w:r>
              <w:rPr>
                <w:rFonts w:ascii="Times New Roman" w:hAnsi="Times New Roman" w:cs="Times New Roman"/>
                <w:sz w:val="22"/>
                <w:color w:val="000000"/>
              </w:rPr>
              <w:t xml:space="preserve">"First, Wallet Friction: Every student or faculty member must install browser extensions like MetaMask and manage 12-word cryptographic seed phrases. If a voter loses their key, they are permanently disenfranchised. Second, Gas Volatility: Ethereum Layer-1 transactions take up to 15 minutes to confirm, and transaction gas fees fluctuate wildly from $5 to over $50 during peak congestion. It is economically absurd to expect students to purchase cryptocurrency simply to vote in a campus election. Third, Throughput Bottlenecks: Ethereum processes only 15 to 30 transactions per second, failing completely during burst voting periods."</w:t>
            </w:r>
          </w:p>
          <w:p>
            <w:pPr>
              <w:spacing w:before="0" w:after="80" w:line="276" w:lineRule="auto"/>
              <w:jc w:val="both"/>
            </w:pPr>
            <w:r>
              <w:rPr>
                <w:rFonts w:ascii="Times New Roman" w:hAnsi="Times New Roman" w:cs="Times New Roman"/>
                <w:sz w:val="22"/>
                <w:color w:val="000000"/>
              </w:rPr>
              <w:t xml:space="preserve">"Our solution is an intentional Hybrid Web2.5 Architecture. On the front end, voters enjoy a standard, responsive web experience. They log in with their institutional student ID, review candidate manifestos, and submit ballots—with zero browser wallets and zero transaction fees. On the back end, our server delegates ledger interaction to an authorized operator-relayer key that anchors anonymized ballots into the Hedera Consensus Service. Auditors can verify tallies directly from public mirror nodes without trusting our server."</w:t>
            </w:r>
          </w:p>
        </w:tc>
      </w:tr>
    </w:tbl>
    <w:p>
      <w:pPr>
        <w:jc w:val="left"/>
        <w:spacing w:before="0" w:after="140" w:line="260" w:lineRule="auto"/>
      </w:pPr>
    </w:p>
    <w:tbl>
      <w:tblPr>
        <w:tblW w:w="9360" w:type="dxa"/>
        <w:jc w:val="center"/>
        <w:tblBorders>
          <w:top w:val="single" w:sz="12" w:space="0" w:color="000000"/>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E5E7EB"/>
            <w:tcMar>
              <w:top w:w="120"/>
              <w:bottom w:w="100"/>
              <w:left w:w="160"/>
              <w:right w:w="160"/>
            </w:tcMar>
          </w:tcPr>
          <w:p>
            <w:pPr>
              <w:spacing w:before="0" w:after="0"/>
              <w:jc w:val="left"/>
            </w:pPr>
            <w:r>
              <w:rPr>
                <w:rFonts w:ascii="Times New Roman" w:hAnsi="Times New Roman" w:cs="Times New Roman"/>
                <w:b/>
                <w:sz w:val="22"/>
                <w:color w:val="000000"/>
              </w:rPr>
              <w:t xml:space="preserve">🎤 Speaker 1 (Student-1) — 04:30 to 07:00</w:t>
            </w:r>
          </w:p>
        </w:tc>
      </w:tr>
    </w:tbl>
    <w:tbl>
      <w:tblPr>
        <w:tblW w:w="9360" w:type="dxa"/>
        <w:jc w:val="center"/>
        <w:tblBorders>
          <w:top w:val="none"/>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F3F4F6"/>
            <w:tcMar>
              <w:top w:w="80"/>
              <w:bottom w:w="80"/>
              <w:left w:w="160"/>
              <w:right w:w="160"/>
            </w:tcMar>
          </w:tcPr>
          <w:p>
            <w:pPr>
              <w:spacing w:before="0" w:after="0"/>
              <w:jc w:val="left"/>
            </w:pPr>
            <w:r>
              <w:rPr>
                <w:rFonts w:ascii="Times New Roman" w:hAnsi="Times New Roman" w:cs="Times New Roman"/>
                <w:b/>
                <w:sz w:val="20"/>
                <w:color w:val="000000"/>
              </w:rPr>
              <w:t xml:space="preserve">🖥️ Slide 5: Comparative Architectural Analysis &amp; Formal Handover to Speaker 2</w:t>
            </w:r>
          </w:p>
        </w:tc>
      </w:tr>
    </w:tbl>
    <w:tbl>
      <w:tblPr>
        <w:tblW w:w="9360" w:type="dxa"/>
        <w:jc w:val="center"/>
        <w:tblBorders>
          <w:top w:val="none"/>
          <w:bottom w:val="single" w:sz="12" w:space="0" w:color="000000"/>
          <w:left w:val="single" w:sz="12" w:space="0" w:color="000000"/>
          <w:right w:val="single" w:sz="12" w:space="0" w:color="000000"/>
          <w:insideH w:val="none"/>
          <w:insideV w:val="none"/>
        </w:tblBorders>
      </w:tblPr>
      <w:tblGrid>
        <w:gridCol w:w="9360"/>
      </w:tblGrid>
      <w:tr>
        <w:tc>
          <w:tcPr>
            <w:tcW w:w="9360" w:type="dxa"/>
            <w:shd w:val="clear" w:color="auto" w:fill="FFFFFF"/>
            <w:tcMar>
              <w:top w:w="120"/>
              <w:bottom w:w="120"/>
              <w:left w:w="160"/>
              <w:right w:w="160"/>
            </w:tcMar>
          </w:tcPr>
          <w:p>
            <w:pPr>
              <w:spacing w:before="0" w:after="80"/>
              <w:jc w:val="left"/>
            </w:pPr>
            <w:r>
              <w:rPr>
                <w:rFonts w:ascii="Times New Roman" w:hAnsi="Times New Roman" w:cs="Times New Roman"/>
                <w:i/>
                <w:b/>
                <w:sz w:val="20"/>
                <w:color w:val="374151"/>
              </w:rPr>
              <w:t xml:space="preserve">[Stage Cue: Point to Table 2.1 on the slide. Turn to Speaker 2, gesture open-handed, and step smoothly to the side.]</w:t>
            </w:r>
          </w:p>
          <w:p>
            <w:pPr>
              <w:spacing w:before="0" w:after="80" w:line="276" w:lineRule="auto"/>
              <w:jc w:val="both"/>
            </w:pPr>
            <w:r>
              <w:rPr>
                <w:rFonts w:ascii="Times New Roman" w:hAnsi="Times New Roman" w:cs="Times New Roman"/>
                <w:sz w:val="22"/>
                <w:color w:val="000000"/>
              </w:rPr>
              <w:t xml:space="preserve">"To prove our design superiority, we benchmarked our architecture against existing paradigms across five critical dimensions: Paper Ballots offer physical privacy but suffer from manual recounts taking days at costs exceeding $5 per ballot. Centralized SQL databases offer high throughput but zero public auditability. Ethereum Layer-1 provides public auditing but suffers from prohibitive gas fees and 15-minute finality. Hyperledger Fabric delivers throughput but confines auditability to consortium members."</w:t>
            </w:r>
          </w:p>
          <w:p>
            <w:pPr>
              <w:spacing w:before="0" w:after="80" w:line="276" w:lineRule="auto"/>
              <w:jc w:val="both"/>
            </w:pPr>
            <w:r>
              <w:rPr>
                <w:rFonts w:ascii="Times New Roman" w:hAnsi="Times New Roman" w:cs="Times New Roman"/>
                <w:sz w:val="22"/>
                <w:color w:val="000000"/>
              </w:rPr>
              <w:t xml:space="preserve">"In stark contrast, our platform on Hedera Consensus Service delivers over 10,000 TPS throughput, irreversible consensus finality within 3 to 5 seconds, an exact predictable micro-fee of $0.0001 USD per vote, and 100% public verifiability on the HashScan block explorer."</w:t>
            </w:r>
          </w:p>
          <w:p>
            <w:pPr>
              <w:spacing w:before="0" w:after="80" w:line="276" w:lineRule="auto"/>
              <w:jc w:val="both"/>
            </w:pPr>
            <w:r>
              <w:rPr>
                <w:rFonts w:ascii="Times New Roman" w:hAnsi="Times New Roman" w:cs="Times New Roman"/>
                <w:sz w:val="22"/>
                <w:color w:val="000000"/>
              </w:rPr>
              <w:t xml:space="preserve">"With this foundation laid, I now invite my colleague [Speaker 2's Name] to take you through our multi-tier system architecture and the mathematics of the Swirlds Hashgraph consensus algorithm."</w:t>
            </w:r>
          </w:p>
        </w:tc>
      </w:tr>
    </w:tbl>
    <w:p>
      <w:pPr>
        <w:jc w:val="left"/>
        <w:spacing w:before="0" w:after="140" w:line="260" w:lineRule="auto"/>
      </w:pPr>
    </w:p>
    <w:p>
      <w:pPr>
        <w:spacing w:before="0" w:after="0"/>
      </w:pPr>
      <w:r>
        <w:br w:type="page"/>
      </w:r>
    </w:p>
    <w:p>
      <w:pPr>
        <w:pStyle w:val="Heading1"/>
        <w:spacing w:before="300" w:after="100"/>
        <w:jc w:val="left"/>
      </w:pPr>
      <w:r>
        <w:rPr>
          <w:rFonts w:ascii="Times New Roman" w:hAnsi="Times New Roman" w:cs="Times New Roman"/>
          <w:b/>
          <w:color w:val="000000"/>
          <w:sz w:val="28"/>
        </w:rPr>
        <w:t>SPEAKER 2: SYSTEM ARCHITECTURE, METHODOLOGY &amp; TECH STACK</w:t>
      </w:r>
    </w:p>
    <w:p>
      <w:pPr>
        <w:jc w:val="left"/>
        <w:spacing w:before="0" w:after="120" w:line="260" w:lineRule="auto"/>
      </w:pPr>
      <w:r>
        <w:rPr>
          <w:rFonts w:ascii="Times New Roman" w:hAnsi="Times New Roman" w:cs="Times New Roman"/>
          <w:color w:val="000000"/>
          <w:sz w:val="20"/>
          <w:i/>
        </w:rPr>
        <w:t xml:space="preserve">Time Budget: 07:00 – 14:00 (7 Minutes) | Target Word Count: ~850 words</w:t>
      </w:r>
    </w:p>
    <w:tbl>
      <w:tblPr>
        <w:tblW w:w="9360" w:type="dxa"/>
        <w:jc w:val="center"/>
        <w:tblBorders>
          <w:top w:val="single" w:sz="12" w:space="0" w:color="000000"/>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E5E7EB"/>
            <w:tcMar>
              <w:top w:w="120"/>
              <w:bottom w:w="100"/>
              <w:left w:w="160"/>
              <w:right w:w="160"/>
            </w:tcMar>
          </w:tcPr>
          <w:p>
            <w:pPr>
              <w:spacing w:before="0" w:after="0"/>
              <w:jc w:val="left"/>
            </w:pPr>
            <w:r>
              <w:rPr>
                <w:rFonts w:ascii="Times New Roman" w:hAnsi="Times New Roman" w:cs="Times New Roman"/>
                <w:b/>
                <w:sz w:val="22"/>
                <w:color w:val="000000"/>
              </w:rPr>
              <w:t xml:space="preserve">🎤 Speaker 2 (Student-2) — 07:00 to 09:30</w:t>
            </w:r>
          </w:p>
        </w:tc>
      </w:tr>
    </w:tbl>
    <w:tbl>
      <w:tblPr>
        <w:tblW w:w="9360" w:type="dxa"/>
        <w:jc w:val="center"/>
        <w:tblBorders>
          <w:top w:val="none"/>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F3F4F6"/>
            <w:tcMar>
              <w:top w:w="80"/>
              <w:bottom w:w="80"/>
              <w:left w:w="160"/>
              <w:right w:w="160"/>
            </w:tcMar>
          </w:tcPr>
          <w:p>
            <w:pPr>
              <w:spacing w:before="0" w:after="0"/>
              <w:jc w:val="left"/>
            </w:pPr>
            <w:r>
              <w:rPr>
                <w:rFonts w:ascii="Times New Roman" w:hAnsi="Times New Roman" w:cs="Times New Roman"/>
                <w:b/>
                <w:sz w:val="20"/>
                <w:color w:val="000000"/>
              </w:rPr>
              <w:t xml:space="preserve">🖥️ Slide 6 &amp; 7: Multi-Tier Decoupled Architecture &amp; End-to-End Operational Lifecycle</w:t>
            </w:r>
          </w:p>
        </w:tc>
      </w:tr>
    </w:tbl>
    <w:tbl>
      <w:tblPr>
        <w:tblW w:w="9360" w:type="dxa"/>
        <w:jc w:val="center"/>
        <w:tblBorders>
          <w:top w:val="none"/>
          <w:bottom w:val="single" w:sz="12" w:space="0" w:color="000000"/>
          <w:left w:val="single" w:sz="12" w:space="0" w:color="000000"/>
          <w:right w:val="single" w:sz="12" w:space="0" w:color="000000"/>
          <w:insideH w:val="none"/>
          <w:insideV w:val="none"/>
        </w:tblBorders>
      </w:tblPr>
      <w:tblGrid>
        <w:gridCol w:w="9360"/>
      </w:tblGrid>
      <w:tr>
        <w:tc>
          <w:tcPr>
            <w:tcW w:w="9360" w:type="dxa"/>
            <w:shd w:val="clear" w:color="auto" w:fill="FFFFFF"/>
            <w:tcMar>
              <w:top w:w="120"/>
              <w:bottom w:w="120"/>
              <w:left w:w="160"/>
              <w:right w:w="160"/>
            </w:tcMar>
          </w:tcPr>
          <w:p>
            <w:pPr>
              <w:spacing w:before="0" w:after="80"/>
              <w:jc w:val="left"/>
            </w:pPr>
            <w:r>
              <w:rPr>
                <w:rFonts w:ascii="Times New Roman" w:hAnsi="Times New Roman" w:cs="Times New Roman"/>
                <w:i/>
                <w:b/>
                <w:sz w:val="20"/>
                <w:color w:val="374151"/>
              </w:rPr>
              <w:t xml:space="preserve">[Stage Cue: Step forward confidently. Direct the jury's attention to the 4 tiers in Figure 3.1 on screen.]</w:t>
            </w:r>
          </w:p>
          <w:p>
            <w:pPr>
              <w:spacing w:before="0" w:after="80" w:line="276" w:lineRule="auto"/>
              <w:jc w:val="both"/>
            </w:pPr>
            <w:r>
              <w:rPr>
                <w:rFonts w:ascii="Times New Roman" w:hAnsi="Times New Roman" w:cs="Times New Roman"/>
                <w:sz w:val="22"/>
                <w:color w:val="000000"/>
              </w:rPr>
              <w:t xml:space="preserve">"Thank you, [Speaker 1]. Good morning, respected evaluators. As illustrated in Figure 3.1, our platform separates concerns across four strictly decoupled architectural tiers: The Presentation Tier is a single-page React 18 application built with Vite, providing real-time election status and candidate manifesto browsing. The Application Relayer Tier is an Express and Node.js backend executing stateless JWT authentication, role guards, and cryptographic transaction dispatch. The State Caching Tier is a local MongoDB 8 instance with WiredTiger document-level locking, acting as our first line of defense against double-voting. Finally, the Distributed Consensus Tier is the Hedera Consensus Service."</w:t>
            </w:r>
          </w:p>
          <w:p>
            <w:pPr>
              <w:spacing w:before="0" w:after="80" w:line="276" w:lineRule="auto"/>
              <w:jc w:val="both"/>
            </w:pPr>
            <w:r>
              <w:rPr>
                <w:rFonts w:ascii="Times New Roman" w:hAnsi="Times New Roman" w:cs="Times New Roman"/>
                <w:sz w:val="22"/>
                <w:color w:val="000000"/>
              </w:rPr>
              <w:t xml:space="preserve">"Looking at Figure 3.2, let us trace a ballot's operational lifecycle: First, the student logs in and receives an HMAC-SHA256 signed JWT. Second, the voter selects a candidate. Third, the Express server verifies the Bearer token. Fourth, MongoDB executes an atomic claim. If the voter has already voted, the request aborts instantly with HTTP 403. Fifth, the relayer constructs an anonymized ballot payload. Sixth, the relayer signs a TopicMessageSubmitTransaction and dispatches it to Hedera Testnet Topic 0.0.10697996. Seventh, Hashgraph nodes reach consensus in 3.8 seconds. Eighth, a cryptographic transaction receipt is returned to the student."</w:t>
            </w:r>
          </w:p>
        </w:tc>
      </w:tr>
    </w:tbl>
    <w:p>
      <w:pPr>
        <w:jc w:val="left"/>
        <w:spacing w:before="0" w:after="140" w:line="260" w:lineRule="auto"/>
      </w:pPr>
    </w:p>
    <w:tbl>
      <w:tblPr>
        <w:tblW w:w="9360" w:type="dxa"/>
        <w:jc w:val="center"/>
        <w:tblBorders>
          <w:top w:val="single" w:sz="12" w:space="0" w:color="000000"/>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E5E7EB"/>
            <w:tcMar>
              <w:top w:w="120"/>
              <w:bottom w:w="100"/>
              <w:left w:w="160"/>
              <w:right w:w="160"/>
            </w:tcMar>
          </w:tcPr>
          <w:p>
            <w:pPr>
              <w:spacing w:before="0" w:after="0"/>
              <w:jc w:val="left"/>
            </w:pPr>
            <w:r>
              <w:rPr>
                <w:rFonts w:ascii="Times New Roman" w:hAnsi="Times New Roman" w:cs="Times New Roman"/>
                <w:b/>
                <w:sz w:val="22"/>
                <w:color w:val="000000"/>
              </w:rPr>
              <w:t xml:space="preserve">🎤 Speaker 2 (Student-2) — 09:30 to 12:00</w:t>
            </w:r>
          </w:p>
        </w:tc>
      </w:tr>
    </w:tbl>
    <w:tbl>
      <w:tblPr>
        <w:tblW w:w="9360" w:type="dxa"/>
        <w:jc w:val="center"/>
        <w:tblBorders>
          <w:top w:val="none"/>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F3F4F6"/>
            <w:tcMar>
              <w:top w:w="80"/>
              <w:bottom w:w="80"/>
              <w:left w:w="160"/>
              <w:right w:w="160"/>
            </w:tcMar>
          </w:tcPr>
          <w:p>
            <w:pPr>
              <w:spacing w:before="0" w:after="0"/>
              <w:jc w:val="left"/>
            </w:pPr>
            <w:r>
              <w:rPr>
                <w:rFonts w:ascii="Times New Roman" w:hAnsi="Times New Roman" w:cs="Times New Roman"/>
                <w:b/>
                <w:sz w:val="20"/>
                <w:color w:val="000000"/>
              </w:rPr>
              <w:t xml:space="preserve">🖥️ Slide 8: Hedera Hashgraph Consensus: Gossip about Gossip, Virtual Voting &amp; aBFT Proofs</w:t>
            </w:r>
          </w:p>
        </w:tc>
      </w:tr>
    </w:tbl>
    <w:tbl>
      <w:tblPr>
        <w:tblW w:w="9360" w:type="dxa"/>
        <w:jc w:val="center"/>
        <w:tblBorders>
          <w:top w:val="none"/>
          <w:bottom w:val="single" w:sz="12" w:space="0" w:color="000000"/>
          <w:left w:val="single" w:sz="12" w:space="0" w:color="000000"/>
          <w:right w:val="single" w:sz="12" w:space="0" w:color="000000"/>
          <w:insideH w:val="none"/>
          <w:insideV w:val="none"/>
        </w:tblBorders>
      </w:tblPr>
      <w:tblGrid>
        <w:gridCol w:w="9360"/>
      </w:tblGrid>
      <w:tr>
        <w:tc>
          <w:tcPr>
            <w:tcW w:w="9360" w:type="dxa"/>
            <w:shd w:val="clear" w:color="auto" w:fill="FFFFFF"/>
            <w:tcMar>
              <w:top w:w="120"/>
              <w:bottom w:w="120"/>
              <w:left w:w="160"/>
              <w:right w:w="160"/>
            </w:tcMar>
          </w:tcPr>
          <w:p>
            <w:pPr>
              <w:spacing w:before="0" w:after="80"/>
              <w:jc w:val="left"/>
            </w:pPr>
            <w:r>
              <w:rPr>
                <w:rFonts w:ascii="Times New Roman" w:hAnsi="Times New Roman" w:cs="Times New Roman"/>
                <w:i/>
                <w:b/>
                <w:sz w:val="20"/>
                <w:color w:val="374151"/>
              </w:rPr>
              <w:t xml:space="preserve">[Stage Cue: Emphasize the mathematical beauty of Virtual Voting: 'Nodes calculate votes in local memory without network traffic'.]</w:t>
            </w:r>
          </w:p>
          <w:p>
            <w:pPr>
              <w:spacing w:before="0" w:after="80" w:line="276" w:lineRule="auto"/>
              <w:jc w:val="both"/>
            </w:pPr>
            <w:r>
              <w:rPr>
                <w:rFonts w:ascii="Times New Roman" w:hAnsi="Times New Roman" w:cs="Times New Roman"/>
                <w:sz w:val="22"/>
                <w:color w:val="000000"/>
              </w:rPr>
              <w:t xml:space="preserve">"A natural technical question is: Why did we select Hedera Hashgraph instead of a standard blockchain? Standard blockchains bundle transactions into linear blocks. If two blocks are mined simultaneously, a fork occurs and one block must be pruned, wasting network resources."</w:t>
            </w:r>
          </w:p>
          <w:p>
            <w:pPr>
              <w:spacing w:before="0" w:after="80" w:line="276" w:lineRule="auto"/>
              <w:jc w:val="both"/>
            </w:pPr>
            <w:r>
              <w:rPr>
                <w:rFonts w:ascii="Times New Roman" w:hAnsi="Times New Roman" w:cs="Times New Roman"/>
                <w:sz w:val="22"/>
                <w:color w:val="000000"/>
              </w:rPr>
              <w:t xml:space="preserve">"Hedera Hashgraph departs completely from linear chains, organizing consensus events into a Directed Acyclic Graph (DAG) using two core protocols: First, Gossip about Gossip. When node A talks to node B, it transmits transaction data plus the cryptographic hashes of the two most recent events it knows. This minimal 64-byte overhead allows every node to reconstruct a complete visual graph of how information propagated across the planet."</w:t>
            </w:r>
          </w:p>
          <w:p>
            <w:pPr>
              <w:spacing w:before="0" w:after="80" w:line="276" w:lineRule="auto"/>
              <w:jc w:val="both"/>
            </w:pPr>
            <w:r>
              <w:rPr>
                <w:rFonts w:ascii="Times New Roman" w:hAnsi="Times New Roman" w:cs="Times New Roman"/>
                <w:sz w:val="22"/>
                <w:color w:val="000000"/>
              </w:rPr>
              <w:t xml:space="preserve">"Second, Virtual Voting. Because every consensus node holds the complete topological event DAG, a node calculates how other nodes would vote on transaction ordering without sending vote messages across the wire. Virtual voting is mathematical, instantaneous, and generates zero network message overhead. Hashgraph is mathematically proven to be Asynchronous Byzantine Fault Tolerant (aBFT)—the highest distributed systems security standard—converging safely even under arbitrary network partitions."</w:t>
            </w:r>
          </w:p>
        </w:tc>
      </w:tr>
    </w:tbl>
    <w:p>
      <w:pPr>
        <w:jc w:val="left"/>
        <w:spacing w:before="0" w:after="140" w:line="260" w:lineRule="auto"/>
      </w:pPr>
    </w:p>
    <w:tbl>
      <w:tblPr>
        <w:tblW w:w="9360" w:type="dxa"/>
        <w:jc w:val="center"/>
        <w:tblBorders>
          <w:top w:val="single" w:sz="12" w:space="0" w:color="000000"/>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E5E7EB"/>
            <w:tcMar>
              <w:top w:w="120"/>
              <w:bottom w:w="100"/>
              <w:left w:w="160"/>
              <w:right w:w="160"/>
            </w:tcMar>
          </w:tcPr>
          <w:p>
            <w:pPr>
              <w:spacing w:before="0" w:after="0"/>
              <w:jc w:val="left"/>
            </w:pPr>
            <w:r>
              <w:rPr>
                <w:rFonts w:ascii="Times New Roman" w:hAnsi="Times New Roman" w:cs="Times New Roman"/>
                <w:b/>
                <w:sz w:val="22"/>
                <w:color w:val="000000"/>
              </w:rPr>
              <w:t xml:space="preserve">🎤 Speaker 2 (Student-2) — 12:00 to 14:00</w:t>
            </w:r>
          </w:p>
        </w:tc>
      </w:tr>
    </w:tbl>
    <w:tbl>
      <w:tblPr>
        <w:tblW w:w="9360" w:type="dxa"/>
        <w:jc w:val="center"/>
        <w:tblBorders>
          <w:top w:val="none"/>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F3F4F6"/>
            <w:tcMar>
              <w:top w:w="80"/>
              <w:bottom w:w="80"/>
              <w:left w:w="160"/>
              <w:right w:w="160"/>
            </w:tcMar>
          </w:tcPr>
          <w:p>
            <w:pPr>
              <w:spacing w:before="0" w:after="0"/>
              <w:jc w:val="left"/>
            </w:pPr>
            <w:r>
              <w:rPr>
                <w:rFonts w:ascii="Times New Roman" w:hAnsi="Times New Roman" w:cs="Times New Roman"/>
                <w:b/>
                <w:sz w:val="20"/>
                <w:color w:val="000000"/>
              </w:rPr>
              <w:t xml:space="preserve">🖥️ Slide 9: Containerized Tech Stack &amp; Handover to Speaker 3 for Live Demonstration</w:t>
            </w:r>
          </w:p>
        </w:tc>
      </w:tr>
    </w:tbl>
    <w:tbl>
      <w:tblPr>
        <w:tblW w:w="9360" w:type="dxa"/>
        <w:jc w:val="center"/>
        <w:tblBorders>
          <w:top w:val="none"/>
          <w:bottom w:val="single" w:sz="12" w:space="0" w:color="000000"/>
          <w:left w:val="single" w:sz="12" w:space="0" w:color="000000"/>
          <w:right w:val="single" w:sz="12" w:space="0" w:color="000000"/>
          <w:insideH w:val="none"/>
          <w:insideV w:val="none"/>
        </w:tblBorders>
      </w:tblPr>
      <w:tblGrid>
        <w:gridCol w:w="9360"/>
      </w:tblGrid>
      <w:tr>
        <w:tc>
          <w:tcPr>
            <w:tcW w:w="9360" w:type="dxa"/>
            <w:shd w:val="clear" w:color="auto" w:fill="FFFFFF"/>
            <w:tcMar>
              <w:top w:w="120"/>
              <w:bottom w:w="120"/>
              <w:left w:w="160"/>
              <w:right w:w="160"/>
            </w:tcMar>
          </w:tcPr>
          <w:p>
            <w:pPr>
              <w:spacing w:before="0" w:after="80"/>
              <w:jc w:val="left"/>
            </w:pPr>
            <w:r>
              <w:rPr>
                <w:rFonts w:ascii="Times New Roman" w:hAnsi="Times New Roman" w:cs="Times New Roman"/>
                <w:i/>
                <w:b/>
                <w:sz w:val="20"/>
                <w:color w:val="374151"/>
              </w:rPr>
              <w:t xml:space="preserve">[Stage Cue: Point to the Docker Compose architecture on slide 9. Hand over to Speaker 3.]</w:t>
            </w:r>
          </w:p>
          <w:p>
            <w:pPr>
              <w:spacing w:before="0" w:after="80" w:line="276" w:lineRule="auto"/>
              <w:jc w:val="both"/>
            </w:pPr>
            <w:r>
              <w:rPr>
                <w:rFonts w:ascii="Times New Roman" w:hAnsi="Times New Roman" w:cs="Times New Roman"/>
                <w:sz w:val="22"/>
                <w:color w:val="000000"/>
              </w:rPr>
              <w:t xml:space="preserve">"To guarantee turnkey portability, our architecture is orchestrated via Docker Compose: a voting-mongodb container executes MongoDB 8 with persistent storage and healthchecks; a voting-backend container runs our Express relayer on port 5000; and a voting-frontend container serves the compiled React SPA on port 5173."</w:t>
            </w:r>
          </w:p>
          <w:p>
            <w:pPr>
              <w:spacing w:before="0" w:after="80" w:line="276" w:lineRule="auto"/>
              <w:jc w:val="both"/>
            </w:pPr>
            <w:r>
              <w:rPr>
                <w:rFonts w:ascii="Times New Roman" w:hAnsi="Times New Roman" w:cs="Times New Roman"/>
                <w:sz w:val="22"/>
                <w:color w:val="000000"/>
              </w:rPr>
              <w:t xml:space="preserve">"Structured logging pipelines capture API request-response latencies, while Hedera mirror nodes provide permanent transaction archives."</w:t>
            </w:r>
          </w:p>
          <w:p>
            <w:pPr>
              <w:spacing w:before="0" w:after="80" w:line="276" w:lineRule="auto"/>
              <w:jc w:val="both"/>
            </w:pPr>
            <w:r>
              <w:rPr>
                <w:rFonts w:ascii="Times New Roman" w:hAnsi="Times New Roman" w:cs="Times New Roman"/>
                <w:sz w:val="22"/>
                <w:color w:val="000000"/>
              </w:rPr>
              <w:t xml:space="preserve">"Now, to demonstrate the code that enforces concurrency control and to present our live production platform in action, I hand over the presentation to [Speaker 3's Name]."</w:t>
            </w:r>
          </w:p>
        </w:tc>
      </w:tr>
    </w:tbl>
    <w:p>
      <w:pPr>
        <w:jc w:val="left"/>
        <w:spacing w:before="0" w:after="140" w:line="260" w:lineRule="auto"/>
      </w:pPr>
    </w:p>
    <w:p>
      <w:pPr>
        <w:spacing w:before="0" w:after="0"/>
      </w:pPr>
      <w:r>
        <w:br w:type="page"/>
      </w:r>
    </w:p>
    <w:p>
      <w:pPr>
        <w:pStyle w:val="Heading1"/>
        <w:spacing w:before="300" w:after="100"/>
        <w:jc w:val="left"/>
      </w:pPr>
      <w:r>
        <w:rPr>
          <w:rFonts w:ascii="Times New Roman" w:hAnsi="Times New Roman" w:cs="Times New Roman"/>
          <w:b/>
          <w:color w:val="000000"/>
          <w:sz w:val="28"/>
        </w:rPr>
        <w:t>SPEAKER 3: IMPLEMENTATION MECHANICS &amp; LIVE SYSTEM DEMONSTRATION</w:t>
      </w:r>
    </w:p>
    <w:p>
      <w:pPr>
        <w:jc w:val="left"/>
        <w:spacing w:before="0" w:after="120" w:line="260" w:lineRule="auto"/>
      </w:pPr>
      <w:r>
        <w:rPr>
          <w:rFonts w:ascii="Times New Roman" w:hAnsi="Times New Roman" w:cs="Times New Roman"/>
          <w:color w:val="000000"/>
          <w:sz w:val="20"/>
          <w:i/>
        </w:rPr>
        <w:t xml:space="preserve">Time Budget: 14:00 – 22:00 (8 Minutes) | Target Word Count: ~950 words</w:t>
      </w:r>
    </w:p>
    <w:tbl>
      <w:tblPr>
        <w:tblW w:w="9360" w:type="dxa"/>
        <w:jc w:val="center"/>
        <w:tblBorders>
          <w:top w:val="single" w:sz="12" w:space="0" w:color="000000"/>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E5E7EB"/>
            <w:tcMar>
              <w:top w:w="120"/>
              <w:bottom w:w="100"/>
              <w:left w:w="160"/>
              <w:right w:w="160"/>
            </w:tcMar>
          </w:tcPr>
          <w:p>
            <w:pPr>
              <w:spacing w:before="0" w:after="0"/>
              <w:jc w:val="left"/>
            </w:pPr>
            <w:r>
              <w:rPr>
                <w:rFonts w:ascii="Times New Roman" w:hAnsi="Times New Roman" w:cs="Times New Roman"/>
                <w:b/>
                <w:sz w:val="22"/>
                <w:color w:val="000000"/>
              </w:rPr>
              <w:t xml:space="preserve">🎤 Speaker 3 (Student-3) — 14:00 to 16:30</w:t>
            </w:r>
          </w:p>
        </w:tc>
      </w:tr>
    </w:tbl>
    <w:tbl>
      <w:tblPr>
        <w:tblW w:w="9360" w:type="dxa"/>
        <w:jc w:val="center"/>
        <w:tblBorders>
          <w:top w:val="none"/>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F3F4F6"/>
            <w:tcMar>
              <w:top w:w="80"/>
              <w:bottom w:w="80"/>
              <w:left w:w="160"/>
              <w:right w:w="160"/>
            </w:tcMar>
          </w:tcPr>
          <w:p>
            <w:pPr>
              <w:spacing w:before="0" w:after="0"/>
              <w:jc w:val="left"/>
            </w:pPr>
            <w:r>
              <w:rPr>
                <w:rFonts w:ascii="Times New Roman" w:hAnsi="Times New Roman" w:cs="Times New Roman"/>
                <w:b/>
                <w:sz w:val="20"/>
                <w:color w:val="000000"/>
              </w:rPr>
              <w:t xml:space="preserve">🖥️ Slide 10 &amp; 11: Concurrency Control: Atomic Ballot Claim &amp; Ledger Rollback Algorithm</w:t>
            </w:r>
          </w:p>
        </w:tc>
      </w:tr>
    </w:tbl>
    <w:tbl>
      <w:tblPr>
        <w:tblW w:w="9360" w:type="dxa"/>
        <w:jc w:val="center"/>
        <w:tblBorders>
          <w:top w:val="none"/>
          <w:bottom w:val="single" w:sz="12" w:space="0" w:color="000000"/>
          <w:left w:val="single" w:sz="12" w:space="0" w:color="000000"/>
          <w:right w:val="single" w:sz="12" w:space="0" w:color="000000"/>
          <w:insideH w:val="none"/>
          <w:insideV w:val="none"/>
        </w:tblBorders>
      </w:tblPr>
      <w:tblGrid>
        <w:gridCol w:w="9360"/>
      </w:tblGrid>
      <w:tr>
        <w:tc>
          <w:tcPr>
            <w:tcW w:w="9360" w:type="dxa"/>
            <w:shd w:val="clear" w:color="auto" w:fill="FFFFFF"/>
            <w:tcMar>
              <w:top w:w="120"/>
              <w:bottom w:w="120"/>
              <w:left w:w="160"/>
              <w:right w:w="160"/>
            </w:tcMar>
          </w:tcPr>
          <w:p>
            <w:pPr>
              <w:spacing w:before="0" w:after="80"/>
              <w:jc w:val="left"/>
            </w:pPr>
            <w:r>
              <w:rPr>
                <w:rFonts w:ascii="Times New Roman" w:hAnsi="Times New Roman" w:cs="Times New Roman"/>
                <w:i/>
                <w:b/>
                <w:sz w:val="20"/>
                <w:color w:val="374151"/>
              </w:rPr>
              <w:t xml:space="preserve">[Stage Cue: Point directly to Listing 4.1 on the projector. Highlight the findOneAndUpdate query filter and the catch rollback.]</w:t>
            </w:r>
          </w:p>
          <w:p>
            <w:pPr>
              <w:spacing w:before="0" w:after="80" w:line="276" w:lineRule="auto"/>
              <w:jc w:val="both"/>
            </w:pPr>
            <w:r>
              <w:rPr>
                <w:rFonts w:ascii="Times New Roman" w:hAnsi="Times New Roman" w:cs="Times New Roman"/>
                <w:sz w:val="22"/>
                <w:color w:val="000000"/>
              </w:rPr>
              <w:t xml:space="preserve">"Thank you, [Speaker 2]. Respected evaluators, in electronic voting, the most dangerous vulnerability is a race condition. If a voter fires parallel requests from multiple browser tabs, a standard read-then-write check creates a race window where both requests read hasVoted as false, resulting in duplicate ballots recorded on the ledger."</w:t>
            </w:r>
          </w:p>
          <w:p>
            <w:pPr>
              <w:spacing w:before="0" w:after="80" w:line="276" w:lineRule="auto"/>
              <w:jc w:val="both"/>
            </w:pPr>
            <w:r>
              <w:rPr>
                <w:rFonts w:ascii="Times New Roman" w:hAnsi="Times New Roman" w:cs="Times New Roman"/>
                <w:sz w:val="22"/>
                <w:color w:val="000000"/>
              </w:rPr>
              <w:t xml:space="preserve">"We solved this through our Atomic Ballot Claim &amp; Ledger Rollback Algorithm in backend/server.js. Looking at Listing 4.1 on the screen:"</w:t>
            </w:r>
          </w:p>
          <w:p>
            <w:pPr>
              <w:spacing w:before="0" w:after="80" w:line="276" w:lineRule="auto"/>
              <w:jc w:val="both"/>
            </w:pPr>
            <w:r>
              <w:rPr>
                <w:rFonts w:ascii="Times New Roman" w:hAnsi="Times New Roman" w:cs="Times New Roman"/>
                <w:sz w:val="22"/>
                <w:color w:val="000000"/>
              </w:rPr>
              <w:t xml:space="preserve">"const voter = await Voter.findOneAndUpdate({ voterId: req.voterId, hasVoted: false }, { hasVoted: true, votedAt: new Date() }, { returnDocument: 'after' });"</w:t>
            </w:r>
          </w:p>
          <w:p>
            <w:pPr>
              <w:spacing w:before="0" w:after="80" w:line="276" w:lineRule="auto"/>
              <w:jc w:val="both"/>
            </w:pPr>
            <w:r>
              <w:rPr>
                <w:rFonts w:ascii="Times New Roman" w:hAnsi="Times New Roman" w:cs="Times New Roman"/>
                <w:sz w:val="22"/>
                <w:color w:val="000000"/>
              </w:rPr>
              <w:t xml:space="preserve">"Under MongoDB's WiredTiger storage engine, document-level locking ensures that only ONE concurrent thread can match hasVoted: false and mutate it to true. The competing thread receives null and is instantly rejected with HTTP 403 Forbidden. Furthermore, look at our catch block: if Hedera experiences a network drop, the catch handler immediately executes an atomic rollback setting hasVoted back to false, preventing voter disenfranchisement."</w:t>
            </w:r>
          </w:p>
        </w:tc>
      </w:tr>
    </w:tbl>
    <w:p>
      <w:pPr>
        <w:jc w:val="left"/>
        <w:spacing w:before="0" w:after="140" w:line="260" w:lineRule="auto"/>
      </w:pPr>
    </w:p>
    <w:tbl>
      <w:tblPr>
        <w:tblW w:w="9360" w:type="dxa"/>
        <w:jc w:val="center"/>
        <w:tblBorders>
          <w:top w:val="single" w:sz="12" w:space="0" w:color="000000"/>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E5E7EB"/>
            <w:tcMar>
              <w:top w:w="120"/>
              <w:bottom w:w="100"/>
              <w:left w:w="160"/>
              <w:right w:w="160"/>
            </w:tcMar>
          </w:tcPr>
          <w:p>
            <w:pPr>
              <w:spacing w:before="0" w:after="0"/>
              <w:jc w:val="left"/>
            </w:pPr>
            <w:r>
              <w:rPr>
                <w:rFonts w:ascii="Times New Roman" w:hAnsi="Times New Roman" w:cs="Times New Roman"/>
                <w:b/>
                <w:sz w:val="22"/>
                <w:color w:val="000000"/>
              </w:rPr>
              <w:t xml:space="preserve">🎤 Speaker 3 (Student-3) — 16:30 to 22:00</w:t>
            </w:r>
          </w:p>
        </w:tc>
      </w:tr>
    </w:tbl>
    <w:tbl>
      <w:tblPr>
        <w:tblW w:w="9360" w:type="dxa"/>
        <w:jc w:val="center"/>
        <w:tblBorders>
          <w:top w:val="none"/>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F3F4F6"/>
            <w:tcMar>
              <w:top w:w="80"/>
              <w:bottom w:w="80"/>
              <w:left w:w="160"/>
              <w:right w:w="160"/>
            </w:tcMar>
          </w:tcPr>
          <w:p>
            <w:pPr>
              <w:spacing w:before="0" w:after="0"/>
              <w:jc w:val="left"/>
            </w:pPr>
            <w:r>
              <w:rPr>
                <w:rFonts w:ascii="Times New Roman" w:hAnsi="Times New Roman" w:cs="Times New Roman"/>
                <w:b/>
                <w:sz w:val="20"/>
                <w:color w:val="000000"/>
              </w:rPr>
              <w:t xml:space="preserve">🖥️ Slide 12: LIVE DEMONSTRATION: Authentication, Ballot Casting, HashScan &amp; Mirror Node</w:t>
            </w:r>
          </w:p>
        </w:tc>
      </w:tr>
    </w:tbl>
    <w:tbl>
      <w:tblPr>
        <w:tblW w:w="9360" w:type="dxa"/>
        <w:jc w:val="center"/>
        <w:tblBorders>
          <w:top w:val="none"/>
          <w:bottom w:val="single" w:sz="12" w:space="0" w:color="000000"/>
          <w:left w:val="single" w:sz="12" w:space="0" w:color="000000"/>
          <w:right w:val="single" w:sz="12" w:space="0" w:color="000000"/>
          <w:insideH w:val="none"/>
          <w:insideV w:val="none"/>
        </w:tblBorders>
      </w:tblPr>
      <w:tblGrid>
        <w:gridCol w:w="9360"/>
      </w:tblGrid>
      <w:tr>
        <w:tc>
          <w:tcPr>
            <w:tcW w:w="9360" w:type="dxa"/>
            <w:shd w:val="clear" w:color="auto" w:fill="FFFFFF"/>
            <w:tcMar>
              <w:top w:w="120"/>
              <w:bottom w:w="120"/>
              <w:left w:w="160"/>
              <w:right w:w="160"/>
            </w:tcMar>
          </w:tcPr>
          <w:p>
            <w:pPr>
              <w:spacing w:before="0" w:after="80"/>
              <w:jc w:val="left"/>
            </w:pPr>
            <w:r>
              <w:rPr>
                <w:rFonts w:ascii="Times New Roman" w:hAnsi="Times New Roman" w:cs="Times New Roman"/>
                <w:i/>
                <w:b/>
                <w:sz w:val="20"/>
                <w:color w:val="374151"/>
              </w:rPr>
              <w:t xml:space="preserve">[Stage Cue: Execute live demo on screen. Keep clicks smooth: Login -&gt; Dashboard -&gt; Vote Modal -&gt; HashScan tab -&gt; Mirror Node tab.]</w:t>
            </w:r>
          </w:p>
          <w:p>
            <w:pPr>
              <w:spacing w:before="0" w:after="80" w:line="276" w:lineRule="auto"/>
              <w:jc w:val="both"/>
            </w:pPr>
            <w:r>
              <w:rPr>
                <w:rFonts w:ascii="Times New Roman" w:hAnsi="Times New Roman" w:cs="Times New Roman"/>
                <w:sz w:val="22"/>
                <w:color w:val="000000"/>
              </w:rPr>
              <w:t xml:space="preserve">"I will now switch to our live environment to demonstrate the complete workflow. First, Authentication: here is our dual-role login screen. I click the Voter Demo button to auto-fill VOTER001 and submit. The backend validates the bcrypt hash and returns a signed JWT."</w:t>
            </w:r>
          </w:p>
          <w:p>
            <w:pPr>
              <w:spacing w:before="0" w:after="80" w:line="276" w:lineRule="auto"/>
              <w:jc w:val="both"/>
            </w:pPr>
            <w:r>
              <w:rPr>
                <w:rFonts w:ascii="Times New Roman" w:hAnsi="Times New Roman" w:cs="Times New Roman"/>
                <w:sz w:val="22"/>
                <w:color w:val="000000"/>
              </w:rPr>
              <w:t xml:space="preserve">"Second, Voter Dashboard &amp; Manifestos: the dashboard displays active candidates. Notice our Manifesto tracking feature: voters can review Sarah Jenkins's campaign pledges and examine historical promises vs performance."</w:t>
            </w:r>
          </w:p>
          <w:p>
            <w:pPr>
              <w:spacing w:before="0" w:after="80" w:line="276" w:lineRule="auto"/>
              <w:jc w:val="both"/>
            </w:pPr>
            <w:r>
              <w:rPr>
                <w:rFonts w:ascii="Times New Roman" w:hAnsi="Times New Roman" w:cs="Times New Roman"/>
                <w:sz w:val="22"/>
                <w:color w:val="000000"/>
              </w:rPr>
              <w:t xml:space="preserve">"Third, Cryptographic Ballot Submission: I select Sarah Jenkins and click Vote. Upon confirming, our backend atomically claims the voter record and dispatches a TopicMessageSubmitTransaction to Hedera Testnet Topic 0.0.10697996."</w:t>
            </w:r>
          </w:p>
          <w:p>
            <w:pPr>
              <w:spacing w:before="0" w:after="80" w:line="276" w:lineRule="auto"/>
              <w:jc w:val="both"/>
            </w:pPr>
            <w:r>
              <w:rPr>
                <w:rFonts w:ascii="Times New Roman" w:hAnsi="Times New Roman" w:cs="Times New Roman"/>
                <w:sz w:val="22"/>
                <w:color w:val="000000"/>
              </w:rPr>
              <w:t xml:space="preserve">"Fourth, Consensus Finality: in under 4 seconds, consensus is reached! The receipt is displayed with our unique Transaction ID: 0.0.9757391@1730182450.123456789."</w:t>
            </w:r>
          </w:p>
          <w:p>
            <w:pPr>
              <w:spacing w:before="0" w:after="80" w:line="276" w:lineRule="auto"/>
              <w:jc w:val="both"/>
            </w:pPr>
            <w:r>
              <w:rPr>
                <w:rFonts w:ascii="Times New Roman" w:hAnsi="Times New Roman" w:cs="Times New Roman"/>
                <w:sz w:val="22"/>
                <w:color w:val="000000"/>
              </w:rPr>
              <w:t xml:space="preserve">"Fifth, Public HashScan Verification: switching to hashscan.io/testnet, we search Topic 0.0.10697996. Here is our newly minted message with monotonic Sequence Number and nanosecond timestamp! Sixth, Mirror Node Audit: querying testnet.mirrornode.hedera.com directly returns the base64 payload containing candidateId. Any auditor can compute the election tally independently without trusting our server."</w:t>
            </w:r>
          </w:p>
          <w:p>
            <w:pPr>
              <w:spacing w:before="0" w:after="80" w:line="276" w:lineRule="auto"/>
              <w:jc w:val="both"/>
            </w:pPr>
            <w:r>
              <w:rPr>
                <w:rFonts w:ascii="Times New Roman" w:hAnsi="Times New Roman" w:cs="Times New Roman"/>
                <w:sz w:val="22"/>
                <w:color w:val="000000"/>
              </w:rPr>
              <w:t xml:space="preserve">"I now invite [Speaker 4's Name] to present our benchmark results, formal threat modeling, and future roadmap."</w:t>
            </w:r>
          </w:p>
        </w:tc>
      </w:tr>
    </w:tbl>
    <w:p>
      <w:pPr>
        <w:jc w:val="left"/>
        <w:spacing w:before="0" w:after="140" w:line="260" w:lineRule="auto"/>
      </w:pPr>
    </w:p>
    <w:p>
      <w:pPr>
        <w:spacing w:before="0" w:after="0"/>
      </w:pPr>
      <w:r>
        <w:br w:type="page"/>
      </w:r>
    </w:p>
    <w:p>
      <w:pPr>
        <w:pStyle w:val="Heading1"/>
        <w:spacing w:before="300" w:after="100"/>
        <w:jc w:val="left"/>
      </w:pPr>
      <w:r>
        <w:rPr>
          <w:rFonts w:ascii="Times New Roman" w:hAnsi="Times New Roman" w:cs="Times New Roman"/>
          <w:b/>
          <w:color w:val="000000"/>
          <w:sz w:val="28"/>
        </w:rPr>
        <w:t>SPEAKER 4: BENCHMARKS, SECURITY THREAT MODEL &amp; FUTURE ROADMAP</w:t>
      </w:r>
    </w:p>
    <w:p>
      <w:pPr>
        <w:jc w:val="left"/>
        <w:spacing w:before="0" w:after="120" w:line="260" w:lineRule="auto"/>
      </w:pPr>
      <w:r>
        <w:rPr>
          <w:rFonts w:ascii="Times New Roman" w:hAnsi="Times New Roman" w:cs="Times New Roman"/>
          <w:color w:val="000000"/>
          <w:sz w:val="20"/>
          <w:i/>
        </w:rPr>
        <w:t xml:space="preserve">Time Budget: 22:00 – 29:00 (7 Minutes) | Target Word Count: ~850 words</w:t>
      </w:r>
    </w:p>
    <w:tbl>
      <w:tblPr>
        <w:tblW w:w="9360" w:type="dxa"/>
        <w:jc w:val="center"/>
        <w:tblBorders>
          <w:top w:val="single" w:sz="12" w:space="0" w:color="000000"/>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E5E7EB"/>
            <w:tcMar>
              <w:top w:w="120"/>
              <w:bottom w:w="100"/>
              <w:left w:w="160"/>
              <w:right w:w="160"/>
            </w:tcMar>
          </w:tcPr>
          <w:p>
            <w:pPr>
              <w:spacing w:before="0" w:after="0"/>
              <w:jc w:val="left"/>
            </w:pPr>
            <w:r>
              <w:rPr>
                <w:rFonts w:ascii="Times New Roman" w:hAnsi="Times New Roman" w:cs="Times New Roman"/>
                <w:b/>
                <w:sz w:val="22"/>
                <w:color w:val="000000"/>
              </w:rPr>
              <w:t xml:space="preserve">🎤 Speaker 4 (Student-4) — 22:00 to 24:30</w:t>
            </w:r>
          </w:p>
        </w:tc>
      </w:tr>
    </w:tbl>
    <w:tbl>
      <w:tblPr>
        <w:tblW w:w="9360" w:type="dxa"/>
        <w:jc w:val="center"/>
        <w:tblBorders>
          <w:top w:val="none"/>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F3F4F6"/>
            <w:tcMar>
              <w:top w:w="80"/>
              <w:bottom w:w="80"/>
              <w:left w:w="160"/>
              <w:right w:w="160"/>
            </w:tcMar>
          </w:tcPr>
          <w:p>
            <w:pPr>
              <w:spacing w:before="0" w:after="0"/>
              <w:jc w:val="left"/>
            </w:pPr>
            <w:r>
              <w:rPr>
                <w:rFonts w:ascii="Times New Roman" w:hAnsi="Times New Roman" w:cs="Times New Roman"/>
                <w:b/>
                <w:sz w:val="20"/>
                <w:color w:val="000000"/>
              </w:rPr>
              <w:t xml:space="preserve">🖥️ Slide 13: Quantitative Benchmarks: Concurrency, Consensus Latency &amp; Duplicate Rejections</w:t>
            </w:r>
          </w:p>
        </w:tc>
      </w:tr>
    </w:tbl>
    <w:tbl>
      <w:tblPr>
        <w:tblW w:w="9360" w:type="dxa"/>
        <w:jc w:val="center"/>
        <w:tblBorders>
          <w:top w:val="none"/>
          <w:bottom w:val="single" w:sz="12" w:space="0" w:color="000000"/>
          <w:left w:val="single" w:sz="12" w:space="0" w:color="000000"/>
          <w:right w:val="single" w:sz="12" w:space="0" w:color="000000"/>
          <w:insideH w:val="none"/>
          <w:insideV w:val="none"/>
        </w:tblBorders>
      </w:tblPr>
      <w:tblGrid>
        <w:gridCol w:w="9360"/>
      </w:tblGrid>
      <w:tr>
        <w:tc>
          <w:tcPr>
            <w:tcW w:w="9360" w:type="dxa"/>
            <w:shd w:val="clear" w:color="auto" w:fill="FFFFFF"/>
            <w:tcMar>
              <w:top w:w="120"/>
              <w:bottom w:w="120"/>
              <w:left w:w="160"/>
              <w:right w:w="160"/>
            </w:tcMar>
          </w:tcPr>
          <w:p>
            <w:pPr>
              <w:spacing w:before="0" w:after="80"/>
              <w:jc w:val="left"/>
            </w:pPr>
            <w:r>
              <w:rPr>
                <w:rFonts w:ascii="Times New Roman" w:hAnsi="Times New Roman" w:cs="Times New Roman"/>
                <w:i/>
                <w:b/>
                <w:sz w:val="20"/>
                <w:color w:val="374151"/>
              </w:rPr>
              <w:t xml:space="preserve">[Stage Cue: Present Table 5.1 with confidence. Highlight sub-5-second finality and 100% duplicate rejection under race testing.]</w:t>
            </w:r>
          </w:p>
          <w:p>
            <w:pPr>
              <w:spacing w:before="0" w:after="80" w:line="276" w:lineRule="auto"/>
              <w:jc w:val="both"/>
            </w:pPr>
            <w:r>
              <w:rPr>
                <w:rFonts w:ascii="Times New Roman" w:hAnsi="Times New Roman" w:cs="Times New Roman"/>
                <w:sz w:val="22"/>
                <w:color w:val="000000"/>
              </w:rPr>
              <w:t xml:space="preserve">"Thank you, [Speaker 3]. Respected professors, an engineering design is only as credible as its empirical data. We subjected our backend relayer to concurrent load testing across four tiers: 5, 10, 25, and 50 simultaneous voters connected to Hedera Testnet."</w:t>
            </w:r>
          </w:p>
          <w:p>
            <w:pPr>
              <w:spacing w:before="0" w:after="80" w:line="276" w:lineRule="auto"/>
              <w:jc w:val="both"/>
            </w:pPr>
            <w:r>
              <w:rPr>
                <w:rFonts w:ascii="Times New Roman" w:hAnsi="Times New Roman" w:cs="Times New Roman"/>
                <w:sz w:val="22"/>
                <w:color w:val="000000"/>
              </w:rPr>
              <w:t xml:space="preserve">"As detailed in Table 5.1: At 5 and 10 concurrent voters, the system achieved a 100% success rate with an average consensus finality of 3.8 to 4.1 seconds. At 25 concurrent voters with simulated race conditions, our atomic claim successfully rejected 100% of duplicate ballot attempts with HTTP 403, guaranteeing zero double-voting on the ledger."</w:t>
            </w:r>
          </w:p>
          <w:p>
            <w:pPr>
              <w:spacing w:before="0" w:after="80" w:line="276" w:lineRule="auto"/>
              <w:jc w:val="both"/>
            </w:pPr>
            <w:r>
              <w:rPr>
                <w:rFonts w:ascii="Times New Roman" w:hAnsi="Times New Roman" w:cs="Times New Roman"/>
                <w:sz w:val="22"/>
                <w:color w:val="000000"/>
              </w:rPr>
              <w:t xml:space="preserve">"Under burst load of 50 concurrent voters, we achieved a 98% first-pass completion rate with 4.8 seconds average finality. The two dropped requests were due to local test socket exhaustion, and both safely rolled back in the database and completed on retry. Across all tests, the ledger count matched our database with 100% mathematical consistency."</w:t>
            </w:r>
          </w:p>
        </w:tc>
      </w:tr>
    </w:tbl>
    <w:p>
      <w:pPr>
        <w:jc w:val="left"/>
        <w:spacing w:before="0" w:after="140" w:line="260" w:lineRule="auto"/>
      </w:pPr>
    </w:p>
    <w:tbl>
      <w:tblPr>
        <w:tblW w:w="9360" w:type="dxa"/>
        <w:jc w:val="center"/>
        <w:tblBorders>
          <w:top w:val="single" w:sz="12" w:space="0" w:color="000000"/>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E5E7EB"/>
            <w:tcMar>
              <w:top w:w="120"/>
              <w:bottom w:w="100"/>
              <w:left w:w="160"/>
              <w:right w:w="160"/>
            </w:tcMar>
          </w:tcPr>
          <w:p>
            <w:pPr>
              <w:spacing w:before="0" w:after="0"/>
              <w:jc w:val="left"/>
            </w:pPr>
            <w:r>
              <w:rPr>
                <w:rFonts w:ascii="Times New Roman" w:hAnsi="Times New Roman" w:cs="Times New Roman"/>
                <w:b/>
                <w:sz w:val="22"/>
                <w:color w:val="000000"/>
              </w:rPr>
              <w:t xml:space="preserve">🎤 Speaker 4 (Student-4) — 24:30 to 27:00</w:t>
            </w:r>
          </w:p>
        </w:tc>
      </w:tr>
    </w:tbl>
    <w:tbl>
      <w:tblPr>
        <w:tblW w:w="9360" w:type="dxa"/>
        <w:jc w:val="center"/>
        <w:tblBorders>
          <w:top w:val="none"/>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F3F4F6"/>
            <w:tcMar>
              <w:top w:w="80"/>
              <w:bottom w:w="80"/>
              <w:left w:w="160"/>
              <w:right w:w="160"/>
            </w:tcMar>
          </w:tcPr>
          <w:p>
            <w:pPr>
              <w:spacing w:before="0" w:after="0"/>
              <w:jc w:val="left"/>
            </w:pPr>
            <w:r>
              <w:rPr>
                <w:rFonts w:ascii="Times New Roman" w:hAnsi="Times New Roman" w:cs="Times New Roman"/>
                <w:b/>
                <w:sz w:val="20"/>
                <w:color w:val="000000"/>
              </w:rPr>
              <w:t xml:space="preserve">🖥️ Slide 14 &amp; 15: Formal STRIDE Threat Model, OWASP Top 10 &amp; Regression Test Verification</w:t>
            </w:r>
          </w:p>
        </w:tc>
      </w:tr>
    </w:tbl>
    <w:tbl>
      <w:tblPr>
        <w:tblW w:w="9360" w:type="dxa"/>
        <w:jc w:val="center"/>
        <w:tblBorders>
          <w:top w:val="none"/>
          <w:bottom w:val="single" w:sz="12" w:space="0" w:color="000000"/>
          <w:left w:val="single" w:sz="12" w:space="0" w:color="000000"/>
          <w:right w:val="single" w:sz="12" w:space="0" w:color="000000"/>
          <w:insideH w:val="none"/>
          <w:insideV w:val="none"/>
        </w:tblBorders>
      </w:tblPr>
      <w:tblGrid>
        <w:gridCol w:w="9360"/>
      </w:tblGrid>
      <w:tr>
        <w:tc>
          <w:tcPr>
            <w:tcW w:w="9360" w:type="dxa"/>
            <w:shd w:val="clear" w:color="auto" w:fill="FFFFFF"/>
            <w:tcMar>
              <w:top w:w="120"/>
              <w:bottom w:w="120"/>
              <w:left w:w="160"/>
              <w:right w:w="160"/>
            </w:tcMar>
          </w:tcPr>
          <w:p>
            <w:pPr>
              <w:spacing w:before="0" w:after="80"/>
              <w:jc w:val="left"/>
            </w:pPr>
            <w:r>
              <w:rPr>
                <w:rFonts w:ascii="Times New Roman" w:hAnsi="Times New Roman" w:cs="Times New Roman"/>
                <w:i/>
                <w:b/>
                <w:sz w:val="20"/>
                <w:color w:val="374151"/>
              </w:rPr>
              <w:t xml:space="preserve">[Stage Cue: Walk through STRIDE systematically: Spoofing, Tampering, Repudiation, Information Disclosure, DoS, Elevation.]</w:t>
            </w:r>
          </w:p>
          <w:p>
            <w:pPr>
              <w:spacing w:before="0" w:after="80" w:line="276" w:lineRule="auto"/>
              <w:jc w:val="both"/>
            </w:pPr>
            <w:r>
              <w:rPr>
                <w:rFonts w:ascii="Times New Roman" w:hAnsi="Times New Roman" w:cs="Times New Roman"/>
                <w:sz w:val="22"/>
                <w:color w:val="000000"/>
              </w:rPr>
              <w:t xml:space="preserve">"We formally evaluated the platform against Microsoft's STRIDE Threat Framework: Spoofing is countered by salted bcrypt password hashes and 24-hour expiration JWTs. Tampering is mitigated because even a compromised database administrator cannot alter votes recorded on Hedera. Repudiation is eliminated because voters receive cryptographic transaction receipts verifiable on HashScan. Information Disclosure is addressed by decoupling voter identities from on-chain payloads. Denial of Service is prevented via atomic database indexing and token rate limiting. Elevation of Privilege is blocked by requireRole middleware."</w:t>
            </w:r>
          </w:p>
          <w:p>
            <w:pPr>
              <w:spacing w:before="0" w:after="80" w:line="276" w:lineRule="auto"/>
              <w:jc w:val="both"/>
            </w:pPr>
            <w:r>
              <w:rPr>
                <w:rFonts w:ascii="Times New Roman" w:hAnsi="Times New Roman" w:cs="Times New Roman"/>
                <w:sz w:val="22"/>
                <w:color w:val="000000"/>
              </w:rPr>
              <w:t xml:space="preserve">"Against OWASP Top 10 vulnerabilities, we implemented strict NoSQL input sanitization (.trim().toUpperCase()), externalized secret configurations, and HTTPS cryptographic transport. Our automated regression test suite executed with a 100% pass rate across 7 security test cases."</w:t>
            </w:r>
          </w:p>
        </w:tc>
      </w:tr>
    </w:tbl>
    <w:p>
      <w:pPr>
        <w:jc w:val="left"/>
        <w:spacing w:before="0" w:after="140" w:line="260" w:lineRule="auto"/>
      </w:pPr>
    </w:p>
    <w:tbl>
      <w:tblPr>
        <w:tblW w:w="9360" w:type="dxa"/>
        <w:jc w:val="center"/>
        <w:tblBorders>
          <w:top w:val="single" w:sz="12" w:space="0" w:color="000000"/>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E5E7EB"/>
            <w:tcMar>
              <w:top w:w="120"/>
              <w:bottom w:w="100"/>
              <w:left w:w="160"/>
              <w:right w:w="160"/>
            </w:tcMar>
          </w:tcPr>
          <w:p>
            <w:pPr>
              <w:spacing w:before="0" w:after="0"/>
              <w:jc w:val="left"/>
            </w:pPr>
            <w:r>
              <w:rPr>
                <w:rFonts w:ascii="Times New Roman" w:hAnsi="Times New Roman" w:cs="Times New Roman"/>
                <w:b/>
                <w:sz w:val="22"/>
                <w:color w:val="000000"/>
              </w:rPr>
              <w:t xml:space="preserve">🎤 Speaker 4 (Student-4) — 27:00 to 29:00</w:t>
            </w:r>
          </w:p>
        </w:tc>
      </w:tr>
    </w:tbl>
    <w:tbl>
      <w:tblPr>
        <w:tblW w:w="9360" w:type="dxa"/>
        <w:jc w:val="center"/>
        <w:tblBorders>
          <w:top w:val="none"/>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F3F4F6"/>
            <w:tcMar>
              <w:top w:w="80"/>
              <w:bottom w:w="80"/>
              <w:left w:w="160"/>
              <w:right w:w="160"/>
            </w:tcMar>
          </w:tcPr>
          <w:p>
            <w:pPr>
              <w:spacing w:before="0" w:after="0"/>
              <w:jc w:val="left"/>
            </w:pPr>
            <w:r>
              <w:rPr>
                <w:rFonts w:ascii="Times New Roman" w:hAnsi="Times New Roman" w:cs="Times New Roman"/>
                <w:b/>
                <w:sz w:val="20"/>
                <w:color w:val="000000"/>
              </w:rPr>
              <w:t xml:space="preserve">🖥️ Slide 16: System Limitations, Strategic Future Roadmap &amp; Handover for Conclusion</w:t>
            </w:r>
          </w:p>
        </w:tc>
      </w:tr>
    </w:tbl>
    <w:tbl>
      <w:tblPr>
        <w:tblW w:w="9360" w:type="dxa"/>
        <w:jc w:val="center"/>
        <w:tblBorders>
          <w:top w:val="none"/>
          <w:bottom w:val="single" w:sz="12" w:space="0" w:color="000000"/>
          <w:left w:val="single" w:sz="12" w:space="0" w:color="000000"/>
          <w:right w:val="single" w:sz="12" w:space="0" w:color="000000"/>
          <w:insideH w:val="none"/>
          <w:insideV w:val="none"/>
        </w:tblBorders>
      </w:tblPr>
      <w:tblGrid>
        <w:gridCol w:w="9360"/>
      </w:tblGrid>
      <w:tr>
        <w:tc>
          <w:tcPr>
            <w:tcW w:w="9360" w:type="dxa"/>
            <w:shd w:val="clear" w:color="auto" w:fill="FFFFFF"/>
            <w:tcMar>
              <w:top w:w="120"/>
              <w:bottom w:w="120"/>
              <w:left w:w="160"/>
              <w:right w:w="160"/>
            </w:tcMar>
          </w:tcPr>
          <w:p>
            <w:pPr>
              <w:spacing w:before="0" w:after="80"/>
              <w:jc w:val="left"/>
            </w:pPr>
            <w:r>
              <w:rPr>
                <w:rFonts w:ascii="Times New Roman" w:hAnsi="Times New Roman" w:cs="Times New Roman"/>
                <w:i/>
                <w:b/>
                <w:sz w:val="20"/>
                <w:color w:val="374151"/>
              </w:rPr>
              <w:t xml:space="preserve">[Stage Cue: Acknowledge limitations objectively. Detail zk-SNARKs and DIDs as clear mathematical evolutions of the project.]</w:t>
            </w:r>
          </w:p>
          <w:p>
            <w:pPr>
              <w:spacing w:before="0" w:after="80" w:line="276" w:lineRule="auto"/>
              <w:jc w:val="both"/>
            </w:pPr>
            <w:r>
              <w:rPr>
                <w:rFonts w:ascii="Times New Roman" w:hAnsi="Times New Roman" w:cs="Times New Roman"/>
                <w:sz w:val="22"/>
                <w:color w:val="000000"/>
              </w:rPr>
              <w:t xml:space="preserve">"Engineering honesty requires acknowledging limitations: First, Operator Balance Depletion: because our relayer sponsors transactions at $0.0001 each, if the account runs out of HBAR, submissions fail. Automated treasury monitors mitigate this. Second, Mirror Node Eventual Consistency: mirror nodes index transactions within 1 to 2 seconds after consensus, requiring a brief grace period before REST queries reflect new tallies."</w:t>
            </w:r>
          </w:p>
          <w:p>
            <w:pPr>
              <w:spacing w:before="0" w:after="80" w:line="276" w:lineRule="auto"/>
              <w:jc w:val="both"/>
            </w:pPr>
            <w:r>
              <w:rPr>
                <w:rFonts w:ascii="Times New Roman" w:hAnsi="Times New Roman" w:cs="Times New Roman"/>
                <w:sz w:val="22"/>
                <w:color w:val="000000"/>
              </w:rPr>
              <w:t xml:space="preserve">"Our strategic roadmap includes three innovations: First, Zero-Knowledge Proofs (zk-SNARKs) to mathematically prove a voter's eligibility without disclosing their candidate choice or voter ID to the backend. Second, W3C Decentralized Identifiers (DIDs) for university-wide self-sovereign identity. Third, Multi-Signature Governance requiring threshold keys from multiple faculty trustees to initialize election topics."</w:t>
            </w:r>
          </w:p>
          <w:p>
            <w:pPr>
              <w:spacing w:before="0" w:after="80" w:line="276" w:lineRule="auto"/>
              <w:jc w:val="both"/>
            </w:pPr>
            <w:r>
              <w:rPr>
                <w:rFonts w:ascii="Times New Roman" w:hAnsi="Times New Roman" w:cs="Times New Roman"/>
                <w:sz w:val="22"/>
                <w:color w:val="000000"/>
              </w:rPr>
              <w:t xml:space="preserve">"I now call upon [Speaker 1's Name] to conclude our presentation."</w:t>
            </w:r>
          </w:p>
        </w:tc>
      </w:tr>
    </w:tbl>
    <w:p>
      <w:pPr>
        <w:jc w:val="left"/>
        <w:spacing w:before="0" w:after="140" w:line="260" w:lineRule="auto"/>
      </w:pPr>
    </w:p>
    <w:p>
      <w:pPr>
        <w:spacing w:before="0" w:after="0"/>
      </w:pPr>
      <w:r>
        <w:br w:type="page"/>
      </w:r>
    </w:p>
    <w:p>
      <w:pPr>
        <w:pStyle w:val="Heading1"/>
        <w:spacing w:before="300" w:after="100"/>
        <w:jc w:val="left"/>
      </w:pPr>
      <w:r>
        <w:rPr>
          <w:rFonts w:ascii="Times New Roman" w:hAnsi="Times New Roman" w:cs="Times New Roman"/>
          <w:b/>
          <w:color w:val="000000"/>
          <w:sz w:val="28"/>
        </w:rPr>
        <w:t>CONCLUSION &amp; EVALUATOR DEFENSE CHEAT SHEET</w:t>
      </w:r>
    </w:p>
    <w:p>
      <w:pPr>
        <w:jc w:val="left"/>
        <w:spacing w:before="0" w:after="120" w:line="260" w:lineRule="auto"/>
      </w:pPr>
      <w:r>
        <w:rPr>
          <w:rFonts w:ascii="Times New Roman" w:hAnsi="Times New Roman" w:cs="Times New Roman"/>
          <w:color w:val="000000"/>
          <w:sz w:val="20"/>
          <w:i/>
        </w:rPr>
        <w:t xml:space="preserve">Time Budget: 29:00 – 30:00+ | Team Delivery &amp; Panel Q&amp;A Defense</w:t>
      </w:r>
    </w:p>
    <w:tbl>
      <w:tblPr>
        <w:tblW w:w="9360" w:type="dxa"/>
        <w:jc w:val="center"/>
        <w:tblBorders>
          <w:top w:val="single" w:sz="12" w:space="0" w:color="000000"/>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E5E7EB"/>
            <w:tcMar>
              <w:top w:w="120"/>
              <w:bottom w:w="100"/>
              <w:left w:w="160"/>
              <w:right w:w="160"/>
            </w:tcMar>
          </w:tcPr>
          <w:p>
            <w:pPr>
              <w:spacing w:before="0" w:after="0"/>
              <w:jc w:val="left"/>
            </w:pPr>
            <w:r>
              <w:rPr>
                <w:rFonts w:ascii="Times New Roman" w:hAnsi="Times New Roman" w:cs="Times New Roman"/>
                <w:b/>
                <w:sz w:val="22"/>
                <w:color w:val="000000"/>
              </w:rPr>
              <w:t xml:space="preserve">🎤 Speaker 1 &amp; Team — 29:00 to 30:00</w:t>
            </w:r>
          </w:p>
        </w:tc>
      </w:tr>
    </w:tbl>
    <w:tbl>
      <w:tblPr>
        <w:tblW w:w="9360" w:type="dxa"/>
        <w:jc w:val="center"/>
        <w:tblBorders>
          <w:top w:val="none"/>
          <w:bottom w:val="single" w:sz="6" w:space="0" w:color="000000"/>
          <w:left w:val="single" w:sz="12" w:space="0" w:color="000000"/>
          <w:right w:val="single" w:sz="12" w:space="0" w:color="000000"/>
          <w:insideH w:val="none"/>
          <w:insideV w:val="none"/>
        </w:tblBorders>
      </w:tblPr>
      <w:tblGrid>
        <w:gridCol w:w="9360"/>
      </w:tblGrid>
      <w:tr>
        <w:tc>
          <w:tcPr>
            <w:tcW w:w="9360" w:type="dxa"/>
            <w:shd w:val="clear" w:color="auto" w:fill="F3F4F6"/>
            <w:tcMar>
              <w:top w:w="80"/>
              <w:bottom w:w="80"/>
              <w:left w:w="160"/>
              <w:right w:w="160"/>
            </w:tcMar>
          </w:tcPr>
          <w:p>
            <w:pPr>
              <w:spacing w:before="0" w:after="0"/>
              <w:jc w:val="left"/>
            </w:pPr>
            <w:r>
              <w:rPr>
                <w:rFonts w:ascii="Times New Roman" w:hAnsi="Times New Roman" w:cs="Times New Roman"/>
                <w:b/>
                <w:sz w:val="20"/>
                <w:color w:val="000000"/>
              </w:rPr>
              <w:t xml:space="preserve">🖥️ Slide 17: Project Summary, Academic Acknowledgements &amp; Opening of Q&amp;A</w:t>
            </w:r>
          </w:p>
        </w:tc>
      </w:tr>
    </w:tbl>
    <w:tbl>
      <w:tblPr>
        <w:tblW w:w="9360" w:type="dxa"/>
        <w:jc w:val="center"/>
        <w:tblBorders>
          <w:top w:val="none"/>
          <w:bottom w:val="single" w:sz="12" w:space="0" w:color="000000"/>
          <w:left w:val="single" w:sz="12" w:space="0" w:color="000000"/>
          <w:right w:val="single" w:sz="12" w:space="0" w:color="000000"/>
          <w:insideH w:val="none"/>
          <w:insideV w:val="none"/>
        </w:tblBorders>
      </w:tblPr>
      <w:tblGrid>
        <w:gridCol w:w="9360"/>
      </w:tblGrid>
      <w:tr>
        <w:tc>
          <w:tcPr>
            <w:tcW w:w="9360" w:type="dxa"/>
            <w:shd w:val="clear" w:color="auto" w:fill="FFFFFF"/>
            <w:tcMar>
              <w:top w:w="120"/>
              <w:bottom w:w="120"/>
              <w:left w:w="160"/>
              <w:right w:w="160"/>
            </w:tcMar>
          </w:tcPr>
          <w:p>
            <w:pPr>
              <w:spacing w:before="0" w:after="80"/>
              <w:jc w:val="left"/>
            </w:pPr>
            <w:r>
              <w:rPr>
                <w:rFonts w:ascii="Times New Roman" w:hAnsi="Times New Roman" w:cs="Times New Roman"/>
                <w:i/>
                <w:b/>
                <w:sz w:val="20"/>
                <w:color w:val="374151"/>
              </w:rPr>
              <w:t xml:space="preserve">[Stage Cue: All 4 team members stand in line facing the panel with professional posture.]</w:t>
            </w:r>
          </w:p>
          <w:p>
            <w:pPr>
              <w:spacing w:before="0" w:after="80" w:line="276" w:lineRule="auto"/>
              <w:jc w:val="both"/>
            </w:pPr>
            <w:r>
              <w:rPr>
                <w:rFonts w:ascii="Times New Roman" w:hAnsi="Times New Roman" w:cs="Times New Roman"/>
                <w:sz w:val="22"/>
                <w:color w:val="000000"/>
              </w:rPr>
              <w:t xml:space="preserve">"To conclude: our project proves that we do not need to choose between the usability of modern web applications and the immutable security of distributed ledgers. By synthesizing an operator-relayer pattern with the Hedera Consensus Service, we have delivered an electronic voting system that is 100% immune to database manipulation, free of crypto wallet friction for voters, benchmarked to under 5-second finality at a predictable cost of $0.0001 per vote, and fully auditable by any student on public mirror nodes."</w:t>
            </w:r>
          </w:p>
          <w:p>
            <w:pPr>
              <w:spacing w:before="0" w:after="80" w:line="276" w:lineRule="auto"/>
              <w:jc w:val="both"/>
            </w:pPr>
            <w:r>
              <w:rPr>
                <w:rFonts w:ascii="Times New Roman" w:hAnsi="Times New Roman" w:cs="Times New Roman"/>
                <w:sz w:val="22"/>
                <w:color w:val="000000"/>
              </w:rPr>
              <w:t xml:space="preserve">"We express our sincere gratitude to our faculty guide, Dr. Nagendra Panini Challa, for his mentorship. We are now open for questions from the evaluation panel. Thank you!"</w:t>
            </w:r>
          </w:p>
        </w:tc>
      </w:tr>
    </w:tbl>
    <w:p>
      <w:pPr>
        <w:jc w:val="left"/>
        <w:spacing w:before="0" w:after="140" w:line="260" w:lineRule="auto"/>
      </w:pPr>
    </w:p>
    <w:p>
      <w:pPr>
        <w:pStyle w:val="Heading2"/>
        <w:spacing w:before="220" w:after="60"/>
        <w:jc w:val="left"/>
      </w:pPr>
      <w:r>
        <w:rPr>
          <w:rFonts w:ascii="Times New Roman" w:hAnsi="Times New Roman" w:cs="Times New Roman"/>
          <w:b/>
          <w:color w:val="000000"/>
          <w:sz w:val="24"/>
        </w:rPr>
        <w:t>3. Evaluator Defense Q&amp;A Strategy (Anticipated Panel Questions)</w:t>
      </w:r>
    </w:p>
    <w:tbl>
      <w:tblPr>
        <w:tblW w:w="9360" w:type="dxa"/>
        <w:jc w:val="center"/>
        <w:tblBorders>
          <w:top w:val="single" w:sz="8" w:space="0" w:color="000000"/>
          <w:bottom w:val="single" w:sz="8" w:space="0" w:color="000000"/>
          <w:left w:val="single" w:sz="8" w:space="0" w:color="000000"/>
          <w:right w:val="single" w:sz="8" w:space="0" w:color="000000"/>
          <w:insideH w:val="single" w:sz="4" w:space="0" w:color="000000"/>
          <w:insideV w:val="none"/>
        </w:tblBorders>
      </w:tblPr>
      <w:tblGrid>
        <w:gridCol w:w="9360"/>
      </w:tblGrid>
      <w:tr>
        <w:tc>
          <w:tcPr>
            <w:tcW w:w="9360" w:type="dxa"/>
            <w:shd w:val="clear" w:color="auto" w:fill="F3F4F6"/>
            <w:tcMar>
              <w:top w:w="100"/>
              <w:bottom w:w="100"/>
              <w:left w:w="160"/>
              <w:right w:w="160"/>
            </w:tcMar>
          </w:tcPr>
          <w:p>
            <w:pPr>
              <w:spacing w:before="0" w:after="0"/>
              <w:jc w:val="left"/>
            </w:pPr>
            <w:r>
              <w:rPr>
                <w:rFonts w:ascii="Times New Roman" w:hAnsi="Times New Roman" w:cs="Times New Roman"/>
                <w:b/>
                <w:sz w:val="22"/>
                <w:color w:val="000000"/>
              </w:rPr>
              <w:t xml:space="preserve">Q1: If your backend relayer signs all transactions with a single operator key, isn't your relayer still a centralized point of failure?</w:t>
            </w:r>
          </w:p>
          <w:p>
            <w:pPr>
              <w:spacing w:before="40" w:after="0"/>
              <w:jc w:val="left"/>
            </w:pPr>
            <w:r>
              <w:rPr>
                <w:rFonts w:ascii="Times New Roman" w:hAnsi="Times New Roman" w:cs="Times New Roman"/>
                <w:i/>
                <w:sz w:val="20"/>
                <w:color w:val="374151"/>
              </w:rPr>
              <w:t xml:space="preserve">Primary Defender: Speaker 3 (or Speaker 2)</w:t>
            </w:r>
          </w:p>
        </w:tc>
      </w:tr>
      <w:tr>
        <w:tc>
          <w:tcPr>
            <w:tcW w:w="9360" w:type="dxa"/>
            <w:shd w:val="clear" w:color="auto" w:fill="FFFFFF"/>
            <w:tcMar>
              <w:top w:w="120"/>
              <w:bottom w:w="120"/>
              <w:left w:w="160"/>
              <w:right w:w="160"/>
            </w:tcMar>
          </w:tcPr>
          <w:p>
            <w:pPr>
              <w:spacing w:before="0" w:after="60"/>
              <w:jc w:val="left"/>
            </w:pPr>
            <w:r>
              <w:rPr>
                <w:rFonts w:ascii="Times New Roman" w:hAnsi="Times New Roman" w:cs="Times New Roman"/>
                <w:b/>
                <w:sz w:val="20"/>
                <w:color w:val="000000"/>
              </w:rPr>
              <w:t xml:space="preserve">Defensive Answer Strategy:</w:t>
            </w:r>
          </w:p>
          <w:p>
            <w:pPr>
              <w:spacing w:before="0" w:after="80" w:line="260" w:lineRule="auto"/>
              <w:jc w:val="both"/>
            </w:pPr>
            <w:r>
              <w:rPr>
                <w:rFonts w:ascii="Times New Roman" w:hAnsi="Times New Roman" w:cs="Times New Roman"/>
                <w:sz w:val="21"/>
                <w:color w:val="000000"/>
              </w:rPr>
              <w:t xml:space="preserve">"While the relayer sponsors gas fees, it cannot alter vote counts. If the relayer attempts to forge a vote, the raw message payload recorded on Hedera's public mirror nodes will not match the voter's receipt. Because Hedera assigns strictly increasing sequence numbers, the backend cannot secretly insert or delete votes without causing a visible sequence break. On mainnet, we replace the single operator key with a Hedera threshold multi-signature account requiring multiple faculty members to co-sign."</w:t>
            </w:r>
          </w:p>
        </w:tc>
      </w:tr>
    </w:tbl>
    <w:p>
      <w:pPr>
        <w:jc w:val="left"/>
        <w:spacing w:before="0" w:after="120" w:line="260" w:lineRule="auto"/>
      </w:pPr>
    </w:p>
    <w:tbl>
      <w:tblPr>
        <w:tblW w:w="9360" w:type="dxa"/>
        <w:jc w:val="center"/>
        <w:tblBorders>
          <w:top w:val="single" w:sz="8" w:space="0" w:color="000000"/>
          <w:bottom w:val="single" w:sz="8" w:space="0" w:color="000000"/>
          <w:left w:val="single" w:sz="8" w:space="0" w:color="000000"/>
          <w:right w:val="single" w:sz="8" w:space="0" w:color="000000"/>
          <w:insideH w:val="single" w:sz="4" w:space="0" w:color="000000"/>
          <w:insideV w:val="none"/>
        </w:tblBorders>
      </w:tblPr>
      <w:tblGrid>
        <w:gridCol w:w="9360"/>
      </w:tblGrid>
      <w:tr>
        <w:tc>
          <w:tcPr>
            <w:tcW w:w="9360" w:type="dxa"/>
            <w:shd w:val="clear" w:color="auto" w:fill="F3F4F6"/>
            <w:tcMar>
              <w:top w:w="100"/>
              <w:bottom w:w="100"/>
              <w:left w:w="160"/>
              <w:right w:w="160"/>
            </w:tcMar>
          </w:tcPr>
          <w:p>
            <w:pPr>
              <w:spacing w:before="0" w:after="0"/>
              <w:jc w:val="left"/>
            </w:pPr>
            <w:r>
              <w:rPr>
                <w:rFonts w:ascii="Times New Roman" w:hAnsi="Times New Roman" w:cs="Times New Roman"/>
                <w:b/>
                <w:sz w:val="22"/>
                <w:color w:val="000000"/>
              </w:rPr>
              <w:t xml:space="preserve">Q2: Explain exactly how your atomic claim in MongoDB prevents double-voting if two requests hit the server at the exact same microsecond.</w:t>
            </w:r>
          </w:p>
          <w:p>
            <w:pPr>
              <w:spacing w:before="40" w:after="0"/>
              <w:jc w:val="left"/>
            </w:pPr>
            <w:r>
              <w:rPr>
                <w:rFonts w:ascii="Times New Roman" w:hAnsi="Times New Roman" w:cs="Times New Roman"/>
                <w:i/>
                <w:sz w:val="20"/>
                <w:color w:val="374151"/>
              </w:rPr>
              <w:t xml:space="preserve">Primary Defender: Speaker 3</w:t>
            </w:r>
          </w:p>
        </w:tc>
      </w:tr>
      <w:tr>
        <w:tc>
          <w:tcPr>
            <w:tcW w:w="9360" w:type="dxa"/>
            <w:shd w:val="clear" w:color="auto" w:fill="FFFFFF"/>
            <w:tcMar>
              <w:top w:w="120"/>
              <w:bottom w:w="120"/>
              <w:left w:w="160"/>
              <w:right w:w="160"/>
            </w:tcMar>
          </w:tcPr>
          <w:p>
            <w:pPr>
              <w:spacing w:before="0" w:after="60"/>
              <w:jc w:val="left"/>
            </w:pPr>
            <w:r>
              <w:rPr>
                <w:rFonts w:ascii="Times New Roman" w:hAnsi="Times New Roman" w:cs="Times New Roman"/>
                <w:b/>
                <w:sz w:val="20"/>
                <w:color w:val="000000"/>
              </w:rPr>
              <w:t xml:space="preserve">Defensive Answer Strategy:</w:t>
            </w:r>
          </w:p>
          <w:p>
            <w:pPr>
              <w:spacing w:before="0" w:after="80" w:line="260" w:lineRule="auto"/>
              <w:jc w:val="both"/>
            </w:pPr>
            <w:r>
              <w:rPr>
                <w:rFonts w:ascii="Times New Roman" w:hAnsi="Times New Roman" w:cs="Times New Roman"/>
                <w:sz w:val="21"/>
                <w:color w:val="000000"/>
              </w:rPr>
              <w:t xml:space="preserve">"We use MongoDB's atomic findOneAndUpdate operator with the filter condition { voterId: req.voterId, hasVoted: false }. Under MongoDB's WiredTiger storage engine, document-level locking is applied during writes. Even if two requests arrive at the identical millisecond on separate threads, MongoDB serializes the write on that specific document. The first thread acquires the lock and mutates hasVoted to true. The second thread evaluates the filter, finds zero matching documents, and returns null. Our code checks if (!voter) and immediately returns HTTP 403 Forbidden before any network call to Hedera is initiated."</w:t>
            </w:r>
          </w:p>
        </w:tc>
      </w:tr>
    </w:tbl>
    <w:p>
      <w:pPr>
        <w:jc w:val="left"/>
        <w:spacing w:before="0" w:after="120" w:line="260" w:lineRule="auto"/>
      </w:pPr>
    </w:p>
    <w:tbl>
      <w:tblPr>
        <w:tblW w:w="9360" w:type="dxa"/>
        <w:jc w:val="center"/>
        <w:tblBorders>
          <w:top w:val="single" w:sz="8" w:space="0" w:color="000000"/>
          <w:bottom w:val="single" w:sz="8" w:space="0" w:color="000000"/>
          <w:left w:val="single" w:sz="8" w:space="0" w:color="000000"/>
          <w:right w:val="single" w:sz="8" w:space="0" w:color="000000"/>
          <w:insideH w:val="single" w:sz="4" w:space="0" w:color="000000"/>
          <w:insideV w:val="none"/>
        </w:tblBorders>
      </w:tblPr>
      <w:tblGrid>
        <w:gridCol w:w="9360"/>
      </w:tblGrid>
      <w:tr>
        <w:tc>
          <w:tcPr>
            <w:tcW w:w="9360" w:type="dxa"/>
            <w:shd w:val="clear" w:color="auto" w:fill="F3F4F6"/>
            <w:tcMar>
              <w:top w:w="100"/>
              <w:bottom w:w="100"/>
              <w:left w:w="160"/>
              <w:right w:w="160"/>
            </w:tcMar>
          </w:tcPr>
          <w:p>
            <w:pPr>
              <w:spacing w:before="0" w:after="0"/>
              <w:jc w:val="left"/>
            </w:pPr>
            <w:r>
              <w:rPr>
                <w:rFonts w:ascii="Times New Roman" w:hAnsi="Times New Roman" w:cs="Times New Roman"/>
                <w:b/>
                <w:sz w:val="22"/>
                <w:color w:val="000000"/>
              </w:rPr>
              <w:t xml:space="preserve">Q3: Why did you choose Hedera Consensus Service instead of an Ethereum Layer-2 rollup like Polygon or Arbitrum?</w:t>
            </w:r>
          </w:p>
          <w:p>
            <w:pPr>
              <w:spacing w:before="40" w:after="0"/>
              <w:jc w:val="left"/>
            </w:pPr>
            <w:r>
              <w:rPr>
                <w:rFonts w:ascii="Times New Roman" w:hAnsi="Times New Roman" w:cs="Times New Roman"/>
                <w:i/>
                <w:sz w:val="20"/>
                <w:color w:val="374151"/>
              </w:rPr>
              <w:t xml:space="preserve">Primary Defender: Speaker 1</w:t>
            </w:r>
          </w:p>
        </w:tc>
      </w:tr>
      <w:tr>
        <w:tc>
          <w:tcPr>
            <w:tcW w:w="9360" w:type="dxa"/>
            <w:shd w:val="clear" w:color="auto" w:fill="FFFFFF"/>
            <w:tcMar>
              <w:top w:w="120"/>
              <w:bottom w:w="120"/>
              <w:left w:w="160"/>
              <w:right w:w="160"/>
            </w:tcMar>
          </w:tcPr>
          <w:p>
            <w:pPr>
              <w:spacing w:before="0" w:after="60"/>
              <w:jc w:val="left"/>
            </w:pPr>
            <w:r>
              <w:rPr>
                <w:rFonts w:ascii="Times New Roman" w:hAnsi="Times New Roman" w:cs="Times New Roman"/>
                <w:b/>
                <w:sz w:val="20"/>
                <w:color w:val="000000"/>
              </w:rPr>
              <w:t xml:space="preserve">Defensive Answer Strategy:</w:t>
            </w:r>
          </w:p>
          <w:p>
            <w:pPr>
              <w:spacing w:before="0" w:after="80" w:line="260" w:lineRule="auto"/>
              <w:jc w:val="both"/>
            </w:pPr>
            <w:r>
              <w:rPr>
                <w:rFonts w:ascii="Times New Roman" w:hAnsi="Times New Roman" w:cs="Times New Roman"/>
                <w:sz w:val="21"/>
                <w:color w:val="000000"/>
              </w:rPr>
              <w:t xml:space="preserve">"We evaluated Polygon and Arbitrum during our literature review. While L2 rollups reduce fees, they have two major drawbacks: First, gas volatility: even on Polygon, fees fluctuate based on rollup traffic, requiring unpredictable treasury management. Hedera fees are pegged to fiat USD and fixed at exactly $0.0001 USD per message, providing an exact budget of $1.00 per 10,000 votes. Second, finality time: Polygon requires 2 to 4 minutes for state commitment to Ethereum L1. Hedera Hashgraph achieves true aBFT finality in 3.8 seconds with zero risk of chain reorganizations."</w:t>
            </w:r>
          </w:p>
        </w:tc>
      </w:tr>
    </w:tbl>
    <w:p>
      <w:pPr>
        <w:jc w:val="left"/>
        <w:spacing w:before="0" w:after="120" w:line="260" w:lineRule="auto"/>
      </w:pPr>
    </w:p>
    <w:tbl>
      <w:tblPr>
        <w:tblW w:w="9360" w:type="dxa"/>
        <w:jc w:val="center"/>
        <w:tblBorders>
          <w:top w:val="single" w:sz="8" w:space="0" w:color="000000"/>
          <w:bottom w:val="single" w:sz="8" w:space="0" w:color="000000"/>
          <w:left w:val="single" w:sz="8" w:space="0" w:color="000000"/>
          <w:right w:val="single" w:sz="8" w:space="0" w:color="000000"/>
          <w:insideH w:val="single" w:sz="4" w:space="0" w:color="000000"/>
          <w:insideV w:val="none"/>
        </w:tblBorders>
      </w:tblPr>
      <w:tblGrid>
        <w:gridCol w:w="9360"/>
      </w:tblGrid>
      <w:tr>
        <w:tc>
          <w:tcPr>
            <w:tcW w:w="9360" w:type="dxa"/>
            <w:shd w:val="clear" w:color="auto" w:fill="F3F4F6"/>
            <w:tcMar>
              <w:top w:w="100"/>
              <w:bottom w:w="100"/>
              <w:left w:w="160"/>
              <w:right w:w="160"/>
            </w:tcMar>
          </w:tcPr>
          <w:p>
            <w:pPr>
              <w:spacing w:before="0" w:after="0"/>
              <w:jc w:val="left"/>
            </w:pPr>
            <w:r>
              <w:rPr>
                <w:rFonts w:ascii="Times New Roman" w:hAnsi="Times New Roman" w:cs="Times New Roman"/>
                <w:b/>
                <w:sz w:val="22"/>
                <w:color w:val="000000"/>
              </w:rPr>
              <w:t xml:space="preserve">Q4: How do you protect voter privacy? Can someone look at the public mirror node and see who a specific student voted for?</w:t>
            </w:r>
          </w:p>
          <w:p>
            <w:pPr>
              <w:spacing w:before="40" w:after="0"/>
              <w:jc w:val="left"/>
            </w:pPr>
            <w:r>
              <w:rPr>
                <w:rFonts w:ascii="Times New Roman" w:hAnsi="Times New Roman" w:cs="Times New Roman"/>
                <w:i/>
                <w:sz w:val="20"/>
                <w:color w:val="374151"/>
              </w:rPr>
              <w:t xml:space="preserve">Primary Defender: Speaker 4</w:t>
            </w:r>
          </w:p>
        </w:tc>
      </w:tr>
      <w:tr>
        <w:tc>
          <w:tcPr>
            <w:tcW w:w="9360" w:type="dxa"/>
            <w:shd w:val="clear" w:color="auto" w:fill="FFFFFF"/>
            <w:tcMar>
              <w:top w:w="120"/>
              <w:bottom w:w="120"/>
              <w:left w:w="160"/>
              <w:right w:w="160"/>
            </w:tcMar>
          </w:tcPr>
          <w:p>
            <w:pPr>
              <w:spacing w:before="0" w:after="60"/>
              <w:jc w:val="left"/>
            </w:pPr>
            <w:r>
              <w:rPr>
                <w:rFonts w:ascii="Times New Roman" w:hAnsi="Times New Roman" w:cs="Times New Roman"/>
                <w:b/>
                <w:sz w:val="20"/>
                <w:color w:val="000000"/>
              </w:rPr>
              <w:t xml:space="preserve">Defensive Answer Strategy:</w:t>
            </w:r>
          </w:p>
          <w:p>
            <w:pPr>
              <w:spacing w:before="0" w:after="80" w:line="260" w:lineRule="auto"/>
              <w:jc w:val="both"/>
            </w:pPr>
            <w:r>
              <w:rPr>
                <w:rFonts w:ascii="Times New Roman" w:hAnsi="Times New Roman" w:cs="Times New Roman"/>
                <w:sz w:val="21"/>
                <w:color w:val="000000"/>
              </w:rPr>
              <w:t xml:space="preserve">"Voter privacy is protected by structural decoupling. The message payload broadcast to Hedera contains only { candidateId, timestamp }. It contains zero student names, email addresses, or voter registration IDs. An auditor on HashScan sees that a valid vote was cast for Candidate A at consensus timestamp T, but there is zero cryptographic link on the public ledger connecting that ballot to a specific student identity. For complete mathematical anonymity against a compromised backend database, our future work implements client-side zk-SNARK proofs."</w:t>
            </w:r>
          </w:p>
        </w:tc>
      </w:tr>
    </w:tbl>
    <w:p>
      <w:pPr>
        <w:jc w:val="left"/>
        <w:spacing w:before="0" w:after="120" w:line="260" w:lineRule="auto"/>
      </w:pPr>
    </w:p>
    <w:tbl>
      <w:tblPr>
        <w:tblW w:w="9360" w:type="dxa"/>
        <w:jc w:val="center"/>
        <w:tblBorders>
          <w:top w:val="single" w:sz="8" w:space="0" w:color="000000"/>
          <w:bottom w:val="single" w:sz="8" w:space="0" w:color="000000"/>
          <w:left w:val="single" w:sz="8" w:space="0" w:color="000000"/>
          <w:right w:val="single" w:sz="8" w:space="0" w:color="000000"/>
          <w:insideH w:val="single" w:sz="4" w:space="0" w:color="000000"/>
          <w:insideV w:val="none"/>
        </w:tblBorders>
      </w:tblPr>
      <w:tblGrid>
        <w:gridCol w:w="9360"/>
      </w:tblGrid>
      <w:tr>
        <w:tc>
          <w:tcPr>
            <w:tcW w:w="9360" w:type="dxa"/>
            <w:shd w:val="clear" w:color="auto" w:fill="F3F4F6"/>
            <w:tcMar>
              <w:top w:w="100"/>
              <w:bottom w:w="100"/>
              <w:left w:w="160"/>
              <w:right w:w="160"/>
            </w:tcMar>
          </w:tcPr>
          <w:p>
            <w:pPr>
              <w:spacing w:before="0" w:after="0"/>
              <w:jc w:val="left"/>
            </w:pPr>
            <w:r>
              <w:rPr>
                <w:rFonts w:ascii="Times New Roman" w:hAnsi="Times New Roman" w:cs="Times New Roman"/>
                <w:b/>
                <w:sz w:val="22"/>
                <w:color w:val="000000"/>
              </w:rPr>
              <w:t xml:space="preserve">Q5: What happens if a student claims they voted, but the university administration claims they didn't?</w:t>
            </w:r>
          </w:p>
          <w:p>
            <w:pPr>
              <w:spacing w:before="40" w:after="0"/>
              <w:jc w:val="left"/>
            </w:pPr>
            <w:r>
              <w:rPr>
                <w:rFonts w:ascii="Times New Roman" w:hAnsi="Times New Roman" w:cs="Times New Roman"/>
                <w:i/>
                <w:sz w:val="20"/>
                <w:color w:val="374151"/>
              </w:rPr>
              <w:t xml:space="preserve">Primary Defender: Speaker 4</w:t>
            </w:r>
          </w:p>
        </w:tc>
      </w:tr>
      <w:tr>
        <w:tc>
          <w:tcPr>
            <w:tcW w:w="9360" w:type="dxa"/>
            <w:shd w:val="clear" w:color="auto" w:fill="FFFFFF"/>
            <w:tcMar>
              <w:top w:w="120"/>
              <w:bottom w:w="120"/>
              <w:left w:w="160"/>
              <w:right w:w="160"/>
            </w:tcMar>
          </w:tcPr>
          <w:p>
            <w:pPr>
              <w:spacing w:before="0" w:after="60"/>
              <w:jc w:val="left"/>
            </w:pPr>
            <w:r>
              <w:rPr>
                <w:rFonts w:ascii="Times New Roman" w:hAnsi="Times New Roman" w:cs="Times New Roman"/>
                <w:b/>
                <w:sz w:val="20"/>
                <w:color w:val="000000"/>
              </w:rPr>
              <w:t xml:space="preserve">Defensive Answer Strategy:</w:t>
            </w:r>
          </w:p>
          <w:p>
            <w:pPr>
              <w:spacing w:before="0" w:after="80" w:line="260" w:lineRule="auto"/>
              <w:jc w:val="both"/>
            </w:pPr>
            <w:r>
              <w:rPr>
                <w:rFonts w:ascii="Times New Roman" w:hAnsi="Times New Roman" w:cs="Times New Roman"/>
                <w:sz w:val="21"/>
                <w:color w:val="000000"/>
              </w:rPr>
              <w:t xml:space="preserve">"This is the Non-Repudiation guarantee of our STRIDE evaluation. When a vote succeeds, the voter's browser receives and saves a cryptographic Transaction ID. The student can search that transaction ID on hashscan.io. The public Hedera network independently proves whether that transaction was included in Topic 0.0.10697996, at what exact nanosecond, and with what sequence number. Neither the student nor the university can falsely dispute a verified on-chain consensus receipt."</w:t>
            </w:r>
          </w:p>
        </w:tc>
      </w:tr>
    </w:tbl>
    <w:p>
      <w:pPr>
        <w:jc w:val="left"/>
        <w:spacing w:before="0" w:after="120" w:line="260" w:lineRule="auto"/>
      </w:pPr>
    </w:p>
    <w:p>
      <w:pPr>
        <w:pStyle w:val="Heading2"/>
        <w:spacing w:before="220" w:after="60"/>
        <w:jc w:val="left"/>
      </w:pPr>
      <w:r>
        <w:rPr>
          <w:rFonts w:ascii="Times New Roman" w:hAnsi="Times New Roman" w:cs="Times New Roman"/>
          <w:b/>
          <w:color w:val="000000"/>
          <w:sz w:val="24"/>
        </w:rPr>
        <w:t>4. Pre-Presentation Technical Checklist</w:t>
      </w:r>
    </w:p>
    <w:p>
      <w:pPr>
        <w:jc w:val="left"/>
        <w:spacing w:before="0" w:after="80" w:line="260" w:lineRule="auto"/>
      </w:pPr>
      <w:r>
        <w:rPr>
          <w:rFonts w:ascii="Times New Roman" w:hAnsi="Times New Roman" w:cs="Times New Roman"/>
          <w:color w:val="000000"/>
          <w:sz w:val="22"/>
        </w:rPr>
        <w:t xml:space="preserve">1. Backend running: node server.js on port 5000 connected to MongoDB and Hedera Testnet.</w:t>
      </w:r>
    </w:p>
    <w:p>
      <w:pPr>
        <w:jc w:val="left"/>
        <w:spacing w:before="0" w:after="80" w:line="260" w:lineRule="auto"/>
      </w:pPr>
      <w:r>
        <w:rPr>
          <w:rFonts w:ascii="Times New Roman" w:hAnsi="Times New Roman" w:cs="Times New Roman"/>
          <w:color w:val="000000"/>
          <w:sz w:val="22"/>
        </w:rPr>
        <w:t xml:space="preserve">2. Frontend running: npm run dev on port 5173 with browser opened to http://localhost:5173.</w:t>
      </w:r>
    </w:p>
    <w:p>
      <w:pPr>
        <w:jc w:val="left"/>
        <w:spacing w:before="0" w:after="80" w:line="260" w:lineRule="auto"/>
      </w:pPr>
      <w:r>
        <w:rPr>
          <w:rFonts w:ascii="Times New Roman" w:hAnsi="Times New Roman" w:cs="Times New Roman"/>
          <w:color w:val="000000"/>
          <w:sz w:val="22"/>
        </w:rPr>
        <w:t xml:space="preserve">3. Browser Tab 1: Frontend Login &amp; Voter Dashboard ready.</w:t>
      </w:r>
    </w:p>
    <w:p>
      <w:pPr>
        <w:jc w:val="left"/>
        <w:spacing w:before="0" w:after="80" w:line="260" w:lineRule="auto"/>
      </w:pPr>
      <w:r>
        <w:rPr>
          <w:rFonts w:ascii="Times New Roman" w:hAnsi="Times New Roman" w:cs="Times New Roman"/>
          <w:color w:val="000000"/>
          <w:sz w:val="22"/>
        </w:rPr>
        <w:t xml:space="preserve">4. Browser Tab 2: HashScan Explorer (https://hashscan.io/testnet/topic/0.0.10697996) loaded.</w:t>
      </w:r>
    </w:p>
    <w:p>
      <w:pPr>
        <w:jc w:val="left"/>
        <w:spacing w:before="0" w:after="80" w:line="260" w:lineRule="auto"/>
      </w:pPr>
      <w:r>
        <w:rPr>
          <w:rFonts w:ascii="Times New Roman" w:hAnsi="Times New Roman" w:cs="Times New Roman"/>
          <w:color w:val="000000"/>
          <w:sz w:val="22"/>
        </w:rPr>
        <w:t xml:space="preserve">5. Browser Tab 3: Mirror Node REST API endpoint pre-tested and ready.</w:t>
      </w:r>
    </w:p>
    <w:p>
      <w:pPr>
        <w:jc w:val="left"/>
        <w:spacing w:before="0" w:after="80" w:line="260" w:lineRule="auto"/>
      </w:pPr>
      <w:r>
        <w:rPr>
          <w:rFonts w:ascii="Times New Roman" w:hAnsi="Times New Roman" w:cs="Times New Roman"/>
          <w:color w:val="000000"/>
          <w:sz w:val="22"/>
        </w:rPr>
        <w:t xml:space="preserve">6. Backup mobile hotspot connected in case university Wi-Fi blocks Hedera gRPC port 50211.</w:t>
      </w:r>
    </w:p>
    <w:sectPr>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FBCBC" w14:textId="77777777" w:rsidR="00206A0F" w:rsidRDefault="00206A0F" w:rsidP="008E7D1D">
      <w:pPr>
        <w:spacing w:after="0" w:line="240" w:lineRule="auto"/>
      </w:pPr>
      <w:r>
        <w:separator/>
      </w:r>
    </w:p>
  </w:endnote>
  <w:endnote w:type="continuationSeparator" w:id="0">
    <w:p w14:paraId="3D22FC96" w14:textId="77777777" w:rsidR="00206A0F" w:rsidRDefault="00206A0F" w:rsidP="008E7D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6522841"/>
      <w:docPartObj>
        <w:docPartGallery w:val="Page Numbers (Bottom of Page)"/>
        <w:docPartUnique/>
      </w:docPartObj>
    </w:sdtPr>
    <w:sdtEndPr>
      <w:rPr>
        <w:noProof/>
      </w:rPr>
    </w:sdtEndPr>
    <w:sdtContent>
      <w:p w14:paraId="46A60593" w14:textId="1BC447B3" w:rsidR="008E7D1D" w:rsidRDefault="008E7D1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8680CF" w14:textId="77777777" w:rsidR="008E7D1D" w:rsidRDefault="008E7D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0FF5E" w14:textId="77777777" w:rsidR="00206A0F" w:rsidRDefault="00206A0F" w:rsidP="008E7D1D">
      <w:pPr>
        <w:spacing w:after="0" w:line="240" w:lineRule="auto"/>
      </w:pPr>
      <w:r>
        <w:separator/>
      </w:r>
    </w:p>
  </w:footnote>
  <w:footnote w:type="continuationSeparator" w:id="0">
    <w:p w14:paraId="7A6AB0B8" w14:textId="77777777" w:rsidR="00206A0F" w:rsidRDefault="00206A0F" w:rsidP="008E7D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6141A"/>
    <w:multiLevelType w:val="multilevel"/>
    <w:tmpl w:val="B364B17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FC77A95"/>
    <w:multiLevelType w:val="multilevel"/>
    <w:tmpl w:val="FABEF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9D6EE1"/>
    <w:multiLevelType w:val="multilevel"/>
    <w:tmpl w:val="E5C4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B1880"/>
    <w:multiLevelType w:val="multilevel"/>
    <w:tmpl w:val="C07A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15E3E"/>
    <w:multiLevelType w:val="multilevel"/>
    <w:tmpl w:val="8FB0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A64049"/>
    <w:multiLevelType w:val="multilevel"/>
    <w:tmpl w:val="A6906B9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0C6FA4"/>
    <w:multiLevelType w:val="multilevel"/>
    <w:tmpl w:val="47587B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BB1CC0"/>
    <w:multiLevelType w:val="multilevel"/>
    <w:tmpl w:val="648240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F60389"/>
    <w:multiLevelType w:val="multilevel"/>
    <w:tmpl w:val="952A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FE2B2D"/>
    <w:multiLevelType w:val="multilevel"/>
    <w:tmpl w:val="3A42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0C3B1A"/>
    <w:multiLevelType w:val="multilevel"/>
    <w:tmpl w:val="471ED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810A0D"/>
    <w:multiLevelType w:val="multilevel"/>
    <w:tmpl w:val="8A14B412"/>
    <w:lvl w:ilvl="0">
      <w:start w:val="1"/>
      <w:numFmt w:val="decimal"/>
      <w:lvlText w:val="%1"/>
      <w:lvlJc w:val="left"/>
      <w:pPr>
        <w:ind w:left="410" w:hanging="410"/>
      </w:pPr>
      <w:rPr>
        <w:rFonts w:hint="default"/>
        <w:sz w:val="32"/>
      </w:rPr>
    </w:lvl>
    <w:lvl w:ilvl="1">
      <w:start w:val="1"/>
      <w:numFmt w:val="decimal"/>
      <w:lvlText w:val="%1.%2"/>
      <w:lvlJc w:val="left"/>
      <w:pPr>
        <w:ind w:left="890" w:hanging="410"/>
      </w:pPr>
      <w:rPr>
        <w:rFonts w:hint="default"/>
        <w:sz w:val="32"/>
      </w:rPr>
    </w:lvl>
    <w:lvl w:ilvl="2">
      <w:start w:val="1"/>
      <w:numFmt w:val="decimal"/>
      <w:lvlText w:val="%1.%2.%3"/>
      <w:lvlJc w:val="left"/>
      <w:pPr>
        <w:ind w:left="1680" w:hanging="720"/>
      </w:pPr>
      <w:rPr>
        <w:rFonts w:hint="default"/>
        <w:sz w:val="32"/>
      </w:rPr>
    </w:lvl>
    <w:lvl w:ilvl="3">
      <w:start w:val="1"/>
      <w:numFmt w:val="decimal"/>
      <w:lvlText w:val="%1.%2.%3.%4"/>
      <w:lvlJc w:val="left"/>
      <w:pPr>
        <w:ind w:left="2160" w:hanging="720"/>
      </w:pPr>
      <w:rPr>
        <w:rFonts w:hint="default"/>
        <w:sz w:val="32"/>
      </w:rPr>
    </w:lvl>
    <w:lvl w:ilvl="4">
      <w:start w:val="1"/>
      <w:numFmt w:val="decimal"/>
      <w:lvlText w:val="%1.%2.%3.%4.%5"/>
      <w:lvlJc w:val="left"/>
      <w:pPr>
        <w:ind w:left="3000" w:hanging="1080"/>
      </w:pPr>
      <w:rPr>
        <w:rFonts w:hint="default"/>
        <w:sz w:val="32"/>
      </w:rPr>
    </w:lvl>
    <w:lvl w:ilvl="5">
      <w:start w:val="1"/>
      <w:numFmt w:val="decimal"/>
      <w:lvlText w:val="%1.%2.%3.%4.%5.%6"/>
      <w:lvlJc w:val="left"/>
      <w:pPr>
        <w:ind w:left="3480" w:hanging="1080"/>
      </w:pPr>
      <w:rPr>
        <w:rFonts w:hint="default"/>
        <w:sz w:val="32"/>
      </w:rPr>
    </w:lvl>
    <w:lvl w:ilvl="6">
      <w:start w:val="1"/>
      <w:numFmt w:val="decimal"/>
      <w:lvlText w:val="%1.%2.%3.%4.%5.%6.%7"/>
      <w:lvlJc w:val="left"/>
      <w:pPr>
        <w:ind w:left="4320" w:hanging="1440"/>
      </w:pPr>
      <w:rPr>
        <w:rFonts w:hint="default"/>
        <w:sz w:val="32"/>
      </w:rPr>
    </w:lvl>
    <w:lvl w:ilvl="7">
      <w:start w:val="1"/>
      <w:numFmt w:val="decimal"/>
      <w:lvlText w:val="%1.%2.%3.%4.%5.%6.%7.%8"/>
      <w:lvlJc w:val="left"/>
      <w:pPr>
        <w:ind w:left="4800" w:hanging="1440"/>
      </w:pPr>
      <w:rPr>
        <w:rFonts w:hint="default"/>
        <w:sz w:val="32"/>
      </w:rPr>
    </w:lvl>
    <w:lvl w:ilvl="8">
      <w:start w:val="1"/>
      <w:numFmt w:val="decimal"/>
      <w:lvlText w:val="%1.%2.%3.%4.%5.%6.%7.%8.%9"/>
      <w:lvlJc w:val="left"/>
      <w:pPr>
        <w:ind w:left="5640" w:hanging="1800"/>
      </w:pPr>
      <w:rPr>
        <w:rFonts w:hint="default"/>
        <w:sz w:val="32"/>
      </w:rPr>
    </w:lvl>
  </w:abstractNum>
  <w:num w:numId="1" w16cid:durableId="1584606853">
    <w:abstractNumId w:val="0"/>
  </w:num>
  <w:num w:numId="2" w16cid:durableId="1260017995">
    <w:abstractNumId w:val="11"/>
  </w:num>
  <w:num w:numId="3" w16cid:durableId="830608573">
    <w:abstractNumId w:val="2"/>
  </w:num>
  <w:num w:numId="4" w16cid:durableId="1678998251">
    <w:abstractNumId w:val="5"/>
  </w:num>
  <w:num w:numId="5" w16cid:durableId="662467056">
    <w:abstractNumId w:val="3"/>
  </w:num>
  <w:num w:numId="6" w16cid:durableId="1431469869">
    <w:abstractNumId w:val="4"/>
  </w:num>
  <w:num w:numId="7" w16cid:durableId="231503874">
    <w:abstractNumId w:val="8"/>
  </w:num>
  <w:num w:numId="8" w16cid:durableId="224025762">
    <w:abstractNumId w:val="1"/>
  </w:num>
  <w:num w:numId="9" w16cid:durableId="829518046">
    <w:abstractNumId w:val="7"/>
  </w:num>
  <w:num w:numId="10" w16cid:durableId="1860316254">
    <w:abstractNumId w:val="6"/>
  </w:num>
  <w:num w:numId="11" w16cid:durableId="917901502">
    <w:abstractNumId w:val="10"/>
  </w:num>
  <w:num w:numId="12" w16cid:durableId="18309464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400"/>
    <w:rsid w:val="00032400"/>
    <w:rsid w:val="00040BF6"/>
    <w:rsid w:val="000665AB"/>
    <w:rsid w:val="00087E55"/>
    <w:rsid w:val="000C035D"/>
    <w:rsid w:val="000E6B6A"/>
    <w:rsid w:val="0012144A"/>
    <w:rsid w:val="001B369D"/>
    <w:rsid w:val="001F792D"/>
    <w:rsid w:val="002040BC"/>
    <w:rsid w:val="00206A0F"/>
    <w:rsid w:val="00215ECC"/>
    <w:rsid w:val="002259D4"/>
    <w:rsid w:val="002D3AD4"/>
    <w:rsid w:val="002E5C92"/>
    <w:rsid w:val="00321B33"/>
    <w:rsid w:val="003654A0"/>
    <w:rsid w:val="003B1139"/>
    <w:rsid w:val="003C5E3F"/>
    <w:rsid w:val="003D65AD"/>
    <w:rsid w:val="00462F3C"/>
    <w:rsid w:val="004B17F2"/>
    <w:rsid w:val="00505476"/>
    <w:rsid w:val="0056293A"/>
    <w:rsid w:val="005C3C4A"/>
    <w:rsid w:val="0066416C"/>
    <w:rsid w:val="00680B05"/>
    <w:rsid w:val="00687812"/>
    <w:rsid w:val="006E3683"/>
    <w:rsid w:val="006F5F3A"/>
    <w:rsid w:val="00701DB7"/>
    <w:rsid w:val="007A640E"/>
    <w:rsid w:val="007C5FC2"/>
    <w:rsid w:val="007F5951"/>
    <w:rsid w:val="007F798D"/>
    <w:rsid w:val="008E64BC"/>
    <w:rsid w:val="008E7D1D"/>
    <w:rsid w:val="009068C6"/>
    <w:rsid w:val="00953284"/>
    <w:rsid w:val="009560C0"/>
    <w:rsid w:val="009D0792"/>
    <w:rsid w:val="00A3637D"/>
    <w:rsid w:val="00A9618A"/>
    <w:rsid w:val="00AB34BE"/>
    <w:rsid w:val="00AB73C3"/>
    <w:rsid w:val="00AD65F1"/>
    <w:rsid w:val="00AF1D21"/>
    <w:rsid w:val="00B212A5"/>
    <w:rsid w:val="00B2212A"/>
    <w:rsid w:val="00B541F7"/>
    <w:rsid w:val="00C2289D"/>
    <w:rsid w:val="00C95884"/>
    <w:rsid w:val="00CC065A"/>
    <w:rsid w:val="00CD1610"/>
    <w:rsid w:val="00D31E54"/>
    <w:rsid w:val="00D51D44"/>
    <w:rsid w:val="00E766CA"/>
    <w:rsid w:val="00EA1FC5"/>
    <w:rsid w:val="00F07AF9"/>
    <w:rsid w:val="00F13595"/>
    <w:rsid w:val="00F87A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B5678"/>
  <w15:chartTrackingRefBased/>
  <w15:docId w15:val="{224B25A2-EABE-4864-A811-721716128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92D"/>
  </w:style>
  <w:style w:type="paragraph" w:styleId="Heading1">
    <w:name w:val="heading 1"/>
    <w:basedOn w:val="Normal"/>
    <w:next w:val="Normal"/>
    <w:link w:val="Heading1Char"/>
    <w:uiPriority w:val="9"/>
    <w:qFormat/>
    <w:rsid w:val="000324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324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324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24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24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24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4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4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4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4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324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324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24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24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24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4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4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400"/>
    <w:rPr>
      <w:rFonts w:eastAsiaTheme="majorEastAsia" w:cstheme="majorBidi"/>
      <w:color w:val="272727" w:themeColor="text1" w:themeTint="D8"/>
    </w:rPr>
  </w:style>
  <w:style w:type="paragraph" w:styleId="Title">
    <w:name w:val="Title"/>
    <w:basedOn w:val="Normal"/>
    <w:next w:val="Normal"/>
    <w:link w:val="TitleChar"/>
    <w:uiPriority w:val="10"/>
    <w:qFormat/>
    <w:rsid w:val="00032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4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4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4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400"/>
    <w:pPr>
      <w:spacing w:before="160"/>
      <w:jc w:val="center"/>
    </w:pPr>
    <w:rPr>
      <w:i/>
      <w:iCs/>
      <w:color w:val="404040" w:themeColor="text1" w:themeTint="BF"/>
    </w:rPr>
  </w:style>
  <w:style w:type="character" w:customStyle="1" w:styleId="QuoteChar">
    <w:name w:val="Quote Char"/>
    <w:basedOn w:val="DefaultParagraphFont"/>
    <w:link w:val="Quote"/>
    <w:uiPriority w:val="29"/>
    <w:rsid w:val="00032400"/>
    <w:rPr>
      <w:i/>
      <w:iCs/>
      <w:color w:val="404040" w:themeColor="text1" w:themeTint="BF"/>
    </w:rPr>
  </w:style>
  <w:style w:type="paragraph" w:styleId="ListParagraph">
    <w:name w:val="List Paragraph"/>
    <w:basedOn w:val="Normal"/>
    <w:uiPriority w:val="34"/>
    <w:qFormat/>
    <w:rsid w:val="00032400"/>
    <w:pPr>
      <w:ind w:left="720"/>
      <w:contextualSpacing/>
    </w:pPr>
  </w:style>
  <w:style w:type="character" w:styleId="IntenseEmphasis">
    <w:name w:val="Intense Emphasis"/>
    <w:basedOn w:val="DefaultParagraphFont"/>
    <w:uiPriority w:val="21"/>
    <w:qFormat/>
    <w:rsid w:val="00032400"/>
    <w:rPr>
      <w:i/>
      <w:iCs/>
      <w:color w:val="2F5496" w:themeColor="accent1" w:themeShade="BF"/>
    </w:rPr>
  </w:style>
  <w:style w:type="paragraph" w:styleId="IntenseQuote">
    <w:name w:val="Intense Quote"/>
    <w:basedOn w:val="Normal"/>
    <w:next w:val="Normal"/>
    <w:link w:val="IntenseQuoteChar"/>
    <w:uiPriority w:val="30"/>
    <w:qFormat/>
    <w:rsid w:val="000324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2400"/>
    <w:rPr>
      <w:i/>
      <w:iCs/>
      <w:color w:val="2F5496" w:themeColor="accent1" w:themeShade="BF"/>
    </w:rPr>
  </w:style>
  <w:style w:type="character" w:styleId="IntenseReference">
    <w:name w:val="Intense Reference"/>
    <w:basedOn w:val="DefaultParagraphFont"/>
    <w:uiPriority w:val="32"/>
    <w:qFormat/>
    <w:rsid w:val="00032400"/>
    <w:rPr>
      <w:b/>
      <w:bCs/>
      <w:smallCaps/>
      <w:color w:val="2F5496" w:themeColor="accent1" w:themeShade="BF"/>
      <w:spacing w:val="5"/>
    </w:rPr>
  </w:style>
  <w:style w:type="paragraph" w:styleId="NormalWeb">
    <w:name w:val="Normal (Web)"/>
    <w:basedOn w:val="Normal"/>
    <w:uiPriority w:val="99"/>
    <w:semiHidden/>
    <w:unhideWhenUsed/>
    <w:rsid w:val="00087E5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8E7D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7D1D"/>
  </w:style>
  <w:style w:type="paragraph" w:styleId="Footer">
    <w:name w:val="footer"/>
    <w:basedOn w:val="Normal"/>
    <w:link w:val="FooterChar"/>
    <w:uiPriority w:val="99"/>
    <w:unhideWhenUsed/>
    <w:rsid w:val="008E7D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7D1D"/>
  </w:style>
  <w:style w:type="paragraph" w:customStyle="1" w:styleId="msonormal0">
    <w:name w:val="msonormal"/>
    <w:basedOn w:val="Normal"/>
    <w:rsid w:val="00EA1FC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215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15ECC"/>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215EC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409</TotalTime>
  <Pages>61</Pages>
  <Words>10298</Words>
  <Characters>58703</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sabiha</dc:creator>
  <cp:keywords/>
  <dc:description/>
  <cp:lastModifiedBy>Bommireddy Lokesh</cp:lastModifiedBy>
  <cp:revision>23</cp:revision>
  <dcterms:created xsi:type="dcterms:W3CDTF">2026-10-24T15:09:00Z</dcterms:created>
  <dcterms:modified xsi:type="dcterms:W3CDTF">2026-10-28T16:59:00Z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40c81625-0a88-40d5-a397-ee52ef01eb41</vt:lpwstr>
  </property>
</Properties>
</file>