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A44"/>
          <w:sz w:val="44"/>
          <w:szCs w:val="44"/>
        </w:rPr>
        <w:t xml:space="preserve">Finvisor AI — Interview Prep Guide</w:t>
      </w:r>
    </w:p>
    <w:p>
      <w:pPr>
        <w:spacing w:after="40"/>
      </w:pPr>
      <w:r>
        <w:rPr>
          <w:i/>
          <w:iCs/>
          <w:color w:val="555555"/>
          <w:sz w:val="24"/>
          <w:szCs w:val="24"/>
        </w:rPr>
        <w:t xml:space="preserve">Agentic Wealth Management Platform — Ved Mungra</w:t>
      </w:r>
    </w:p>
    <w:p>
      <w:pPr>
        <w:spacing w:after="240"/>
      </w:pPr>
      <w:r>
        <w:rPr>
          <w:color w:val="555555"/>
          <w:sz w:val="20"/>
          <w:szCs w:val="20"/>
        </w:rPr>
        <w:t xml:space="preserve">Q&amp;A prep built from the actual codebase (agent.py, llm_config.py, retriever.py, ingest.py, api.py, db.py, mongo_storage.py, vision_tool.py) and the resume bullets, so every answer traces back to real code.</w:t>
      </w:r>
    </w:p>
    <w:p>
      <w:pPr>
        <w:pBdr>
          <w:bottom w:val="single" w:color="CCCCCC" w:sz="6" w:space="1"/>
        </w:pBdr>
        <w:spacing w:after="200"/>
      </w:pPr>
    </w:p>
    <w:p>
      <w:pPr>
        <w:pStyle w:val="Heading1"/>
        <w:spacing w:after="160" w:before="360"/>
      </w:pPr>
      <w:r>
        <w:t xml:space="preserve">1. The 30-Second Pitch</w:t>
      </w:r>
    </w:p>
    <w:p>
      <w:pPr>
        <w:spacing w:after="160"/>
      </w:pPr>
      <w:r>
        <w:t xml:space="preserve">Finvisor AI is a full-stack agentic wealth-management assistant: a React/Vite frontend talks to a FastAPI backend, which runs a LangGraph agent that routes every question down one of four pathways — semantic search over uploaded earnings reports (RAG), live market data via yfinance, visual inspection of a PDF page for tables/charts a vision model can read, or live web search for anything not covered locally. The interesting engineering isn't any single pathway — it's the routing logic (a CRAG-style grade-then-correct loop), the task-based multi-model backend (a cheap model grades relevance, a stronger model writes the actual advisory answer, each with its own automatic-fallback provider chain), and moving all file storage (PDFs, generated charts) into MongoDB GridFS so nothing depends on a persistent local disk.</w:t>
      </w:r>
    </w:p>
    <w:p>
      <w:pPr>
        <w:spacing w:after="160"/>
      </w:pPr>
      <w:r>
        <w:t xml:space="preserve">If asked to go one level deeper immediately: 100% Top-1 retrieval accuracy on a 15-question internal benchmark, two-stage retrieval (bi-encoder + cross-encoder reranker), and a fallback chain that survives a provider's free-tier rate limit mid-conversation instead of crashing the request.</w:t>
      </w:r>
    </w:p>
    <w:p>
      <w:pPr>
        <w:pStyle w:val="Heading1"/>
        <w:spacing w:after="160" w:before="360"/>
      </w:pPr>
      <w:r>
        <w:t xml:space="preserve">2. Project Snapshot (memorize this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1F2A44" w:val="clear"/>
            <w:tcMar>
              <w:top w:type="dxa" w:w="80"/>
              <w:left w:type="dxa" w:w="100"/>
              <w:bottom w:type="dxa" w:w="80"/>
              <w:right w:type="dxa" w:w="100"/>
            </w:tcMar>
          </w:tcPr>
          <w:p>
            <w:r>
              <w:rPr>
                <w:b/>
                <w:bCs/>
                <w:color w:val="FFFFFF"/>
                <w:sz w:val="20"/>
                <w:szCs w:val="20"/>
              </w:rPr>
              <w:t xml:space="preserve">Layer</w:t>
            </w:r>
          </w:p>
        </w:tc>
        <w:tc>
          <w:tcPr>
            <w:tcW w:type="dxa" w:w="3600"/>
            <w:shd w:fill="1F2A44" w:val="clear"/>
            <w:tcMar>
              <w:top w:type="dxa" w:w="80"/>
              <w:left w:type="dxa" w:w="100"/>
              <w:bottom w:type="dxa" w:w="80"/>
              <w:right w:type="dxa" w:w="100"/>
            </w:tcMar>
          </w:tcPr>
          <w:p>
            <w:r>
              <w:rPr>
                <w:b/>
                <w:bCs/>
                <w:color w:val="FFFFFF"/>
                <w:sz w:val="20"/>
                <w:szCs w:val="20"/>
              </w:rPr>
              <w:t xml:space="preserve">Choice</w:t>
            </w:r>
          </w:p>
        </w:tc>
        <w:tc>
          <w:tcPr>
            <w:tcW w:type="dxa" w:w="4000"/>
            <w:shd w:fill="1F2A44" w:val="clear"/>
            <w:tcMar>
              <w:top w:type="dxa" w:w="80"/>
              <w:left w:type="dxa" w:w="100"/>
              <w:bottom w:type="dxa" w:w="80"/>
              <w:right w:type="dxa" w:w="100"/>
            </w:tcMar>
          </w:tcPr>
          <w:p>
            <w:r>
              <w:rPr>
                <w:b/>
                <w:bCs/>
                <w:color w:val="FFFFFF"/>
                <w:sz w:val="20"/>
                <w:szCs w:val="20"/>
              </w:rPr>
              <w:t xml:space="preserve">Why</w:t>
            </w:r>
          </w:p>
        </w:tc>
      </w:tr>
      <w:tr>
        <w:tc>
          <w:tcPr>
            <w:tcW w:type="dxa" w:w="2400"/>
            <w:tcMar>
              <w:top w:type="dxa" w:w="80"/>
              <w:left w:type="dxa" w:w="100"/>
              <w:bottom w:type="dxa" w:w="80"/>
              <w:right w:type="dxa" w:w="100"/>
            </w:tcMar>
          </w:tcPr>
          <w:p>
            <w:r>
              <w:rPr>
                <w:b w:val="false"/>
                <w:bCs w:val="false"/>
                <w:color w:val="000000"/>
                <w:sz w:val="20"/>
                <w:szCs w:val="20"/>
              </w:rPr>
              <w:t xml:space="preserve">Frontend</w:t>
            </w:r>
          </w:p>
        </w:tc>
        <w:tc>
          <w:tcPr>
            <w:tcW w:type="dxa" w:w="3600"/>
            <w:tcMar>
              <w:top w:type="dxa" w:w="80"/>
              <w:left w:type="dxa" w:w="100"/>
              <w:bottom w:type="dxa" w:w="80"/>
              <w:right w:type="dxa" w:w="100"/>
            </w:tcMar>
          </w:tcPr>
          <w:p>
            <w:r>
              <w:rPr>
                <w:b w:val="false"/>
                <w:bCs w:val="false"/>
                <w:color w:val="000000"/>
                <w:sz w:val="20"/>
                <w:szCs w:val="20"/>
              </w:rPr>
              <w:t xml:space="preserve">React (Vite) + vanilla CSS</w:t>
            </w:r>
          </w:p>
        </w:tc>
        <w:tc>
          <w:tcPr>
            <w:tcW w:type="dxa" w:w="4000"/>
            <w:tcMar>
              <w:top w:type="dxa" w:w="80"/>
              <w:left w:type="dxa" w:w="100"/>
              <w:bottom w:type="dxa" w:w="80"/>
              <w:right w:type="dxa" w:w="100"/>
            </w:tcMar>
          </w:tcPr>
          <w:p>
            <w:r>
              <w:rPr>
                <w:b w:val="false"/>
                <w:bCs w:val="false"/>
                <w:color w:val="000000"/>
                <w:sz w:val="20"/>
                <w:szCs w:val="20"/>
              </w:rPr>
              <w:t xml:space="preserve">Custom "Dark Obsidian" glassmorphism UI, no component-kit lock-in</w:t>
            </w:r>
          </w:p>
        </w:tc>
      </w:tr>
      <w:tr>
        <w:tc>
          <w:tcPr>
            <w:tcW w:type="dxa" w:w="2400"/>
            <w:tcMar>
              <w:top w:type="dxa" w:w="80"/>
              <w:left w:type="dxa" w:w="100"/>
              <w:bottom w:type="dxa" w:w="80"/>
              <w:right w:type="dxa" w:w="100"/>
            </w:tcMar>
          </w:tcPr>
          <w:p>
            <w:r>
              <w:rPr>
                <w:b w:val="false"/>
                <w:bCs w:val="false"/>
                <w:color w:val="000000"/>
                <w:sz w:val="20"/>
                <w:szCs w:val="20"/>
              </w:rPr>
              <w:t xml:space="preserve">Backend API</w:t>
            </w:r>
          </w:p>
        </w:tc>
        <w:tc>
          <w:tcPr>
            <w:tcW w:type="dxa" w:w="3600"/>
            <w:tcMar>
              <w:top w:type="dxa" w:w="80"/>
              <w:left w:type="dxa" w:w="100"/>
              <w:bottom w:type="dxa" w:w="80"/>
              <w:right w:type="dxa" w:w="100"/>
            </w:tcMar>
          </w:tcPr>
          <w:p>
            <w:r>
              <w:rPr>
                <w:b w:val="false"/>
                <w:bCs w:val="false"/>
                <w:color w:val="000000"/>
                <w:sz w:val="20"/>
                <w:szCs w:val="20"/>
              </w:rPr>
              <w:t xml:space="preserve">FastAPI</w:t>
            </w:r>
          </w:p>
        </w:tc>
        <w:tc>
          <w:tcPr>
            <w:tcW w:type="dxa" w:w="4000"/>
            <w:tcMar>
              <w:top w:type="dxa" w:w="80"/>
              <w:left w:type="dxa" w:w="100"/>
              <w:bottom w:type="dxa" w:w="80"/>
              <w:right w:type="dxa" w:w="100"/>
            </w:tcMar>
          </w:tcPr>
          <w:p>
            <w:r>
              <w:rPr>
                <w:b w:val="false"/>
                <w:bCs w:val="false"/>
                <w:color w:val="000000"/>
                <w:sz w:val="20"/>
                <w:szCs w:val="20"/>
              </w:rPr>
              <w:t xml:space="preserve">Async, fast, first-class Pydantic request/response models</w:t>
            </w:r>
          </w:p>
        </w:tc>
      </w:tr>
      <w:tr>
        <w:tc>
          <w:tcPr>
            <w:tcW w:type="dxa" w:w="2400"/>
            <w:tcMar>
              <w:top w:type="dxa" w:w="80"/>
              <w:left w:type="dxa" w:w="100"/>
              <w:bottom w:type="dxa" w:w="80"/>
              <w:right w:type="dxa" w:w="100"/>
            </w:tcMar>
          </w:tcPr>
          <w:p>
            <w:r>
              <w:rPr>
                <w:b w:val="false"/>
                <w:bCs w:val="false"/>
                <w:color w:val="000000"/>
                <w:sz w:val="20"/>
                <w:szCs w:val="20"/>
              </w:rPr>
              <w:t xml:space="preserve">Orchestration</w:t>
            </w:r>
          </w:p>
        </w:tc>
        <w:tc>
          <w:tcPr>
            <w:tcW w:type="dxa" w:w="3600"/>
            <w:tcMar>
              <w:top w:type="dxa" w:w="80"/>
              <w:left w:type="dxa" w:w="100"/>
              <w:bottom w:type="dxa" w:w="80"/>
              <w:right w:type="dxa" w:w="100"/>
            </w:tcMar>
          </w:tcPr>
          <w:p>
            <w:r>
              <w:rPr>
                <w:b w:val="false"/>
                <w:bCs w:val="false"/>
                <w:color w:val="000000"/>
                <w:sz w:val="20"/>
                <w:szCs w:val="20"/>
              </w:rPr>
              <w:t xml:space="preserve">LangGraph (StateGraph)</w:t>
            </w:r>
          </w:p>
        </w:tc>
        <w:tc>
          <w:tcPr>
            <w:tcW w:type="dxa" w:w="4000"/>
            <w:tcMar>
              <w:top w:type="dxa" w:w="80"/>
              <w:left w:type="dxa" w:w="100"/>
              <w:bottom w:type="dxa" w:w="80"/>
              <w:right w:type="dxa" w:w="100"/>
            </w:tcMar>
          </w:tcPr>
          <w:p>
            <w:r>
              <w:rPr>
                <w:b w:val="false"/>
                <w:bCs w:val="false"/>
                <w:color w:val="000000"/>
                <w:sz w:val="20"/>
                <w:szCs w:val="20"/>
              </w:rPr>
              <w:t xml:space="preserve">Explicit graph of nodes/edges beats a single hidden agent loop for a router with 4 distinct pathways</w:t>
            </w:r>
          </w:p>
        </w:tc>
      </w:tr>
      <w:tr>
        <w:tc>
          <w:tcPr>
            <w:tcW w:type="dxa" w:w="2400"/>
            <w:tcMar>
              <w:top w:type="dxa" w:w="80"/>
              <w:left w:type="dxa" w:w="100"/>
              <w:bottom w:type="dxa" w:w="80"/>
              <w:right w:type="dxa" w:w="100"/>
            </w:tcMar>
          </w:tcPr>
          <w:p>
            <w:r>
              <w:rPr>
                <w:b w:val="false"/>
                <w:bCs w:val="false"/>
                <w:color w:val="000000"/>
                <w:sz w:val="20"/>
                <w:szCs w:val="20"/>
              </w:rPr>
              <w:t xml:space="preserve">Vector store</w:t>
            </w:r>
          </w:p>
        </w:tc>
        <w:tc>
          <w:tcPr>
            <w:tcW w:type="dxa" w:w="3600"/>
            <w:tcMar>
              <w:top w:type="dxa" w:w="80"/>
              <w:left w:type="dxa" w:w="100"/>
              <w:bottom w:type="dxa" w:w="80"/>
              <w:right w:type="dxa" w:w="100"/>
            </w:tcMar>
          </w:tcPr>
          <w:p>
            <w:r>
              <w:rPr>
                <w:b w:val="false"/>
                <w:bCs w:val="false"/>
                <w:color w:val="000000"/>
                <w:sz w:val="20"/>
                <w:szCs w:val="20"/>
              </w:rPr>
              <w:t xml:space="preserve">ChromaDB (local, persisted to disk)</w:t>
            </w:r>
          </w:p>
        </w:tc>
        <w:tc>
          <w:tcPr>
            <w:tcW w:type="dxa" w:w="4000"/>
            <w:tcMar>
              <w:top w:type="dxa" w:w="80"/>
              <w:left w:type="dxa" w:w="100"/>
              <w:bottom w:type="dxa" w:w="80"/>
              <w:right w:type="dxa" w:w="100"/>
            </w:tcMar>
          </w:tcPr>
          <w:p>
            <w:r>
              <w:rPr>
                <w:b w:val="false"/>
                <w:bCs w:val="false"/>
                <w:color w:val="000000"/>
                <w:sz w:val="20"/>
                <w:szCs w:val="20"/>
              </w:rPr>
              <w:t xml:space="preserve">Zero external service to run for a solo project; swappable later</w:t>
            </w:r>
          </w:p>
        </w:tc>
      </w:tr>
      <w:tr>
        <w:tc>
          <w:tcPr>
            <w:tcW w:type="dxa" w:w="2400"/>
            <w:tcMar>
              <w:top w:type="dxa" w:w="80"/>
              <w:left w:type="dxa" w:w="100"/>
              <w:bottom w:type="dxa" w:w="80"/>
              <w:right w:type="dxa" w:w="100"/>
            </w:tcMar>
          </w:tcPr>
          <w:p>
            <w:r>
              <w:rPr>
                <w:b w:val="false"/>
                <w:bCs w:val="false"/>
                <w:color w:val="000000"/>
                <w:sz w:val="20"/>
                <w:szCs w:val="20"/>
              </w:rPr>
              <w:t xml:space="preserve">Embeddings</w:t>
            </w:r>
          </w:p>
        </w:tc>
        <w:tc>
          <w:tcPr>
            <w:tcW w:type="dxa" w:w="3600"/>
            <w:tcMar>
              <w:top w:type="dxa" w:w="80"/>
              <w:left w:type="dxa" w:w="100"/>
              <w:bottom w:type="dxa" w:w="80"/>
              <w:right w:type="dxa" w:w="100"/>
            </w:tcMar>
          </w:tcPr>
          <w:p>
            <w:r>
              <w:rPr>
                <w:b w:val="false"/>
                <w:bCs w:val="false"/>
                <w:color w:val="000000"/>
                <w:sz w:val="20"/>
                <w:szCs w:val="20"/>
              </w:rPr>
              <w:t xml:space="preserve">BAAI/bge-small-en-v1.5 (HF, CPU)</w:t>
            </w:r>
          </w:p>
        </w:tc>
        <w:tc>
          <w:tcPr>
            <w:tcW w:type="dxa" w:w="4000"/>
            <w:tcMar>
              <w:top w:type="dxa" w:w="80"/>
              <w:left w:type="dxa" w:w="100"/>
              <w:bottom w:type="dxa" w:w="80"/>
              <w:right w:type="dxa" w:w="100"/>
            </w:tcMar>
          </w:tcPr>
          <w:p>
            <w:r>
              <w:rPr>
                <w:b w:val="false"/>
                <w:bCs w:val="false"/>
                <w:color w:val="000000"/>
                <w:sz w:val="20"/>
                <w:szCs w:val="20"/>
              </w:rPr>
              <w:t xml:space="preserve">Compact, strong open-source bi-encoder; 512-token limit drives the chunking design</w:t>
            </w:r>
          </w:p>
        </w:tc>
      </w:tr>
      <w:tr>
        <w:tc>
          <w:tcPr>
            <w:tcW w:type="dxa" w:w="2400"/>
            <w:tcMar>
              <w:top w:type="dxa" w:w="80"/>
              <w:left w:type="dxa" w:w="100"/>
              <w:bottom w:type="dxa" w:w="80"/>
              <w:right w:type="dxa" w:w="100"/>
            </w:tcMar>
          </w:tcPr>
          <w:p>
            <w:r>
              <w:rPr>
                <w:b w:val="false"/>
                <w:bCs w:val="false"/>
                <w:color w:val="000000"/>
                <w:sz w:val="20"/>
                <w:szCs w:val="20"/>
              </w:rPr>
              <w:t xml:space="preserve">Reranker</w:t>
            </w:r>
          </w:p>
        </w:tc>
        <w:tc>
          <w:tcPr>
            <w:tcW w:type="dxa" w:w="3600"/>
            <w:tcMar>
              <w:top w:type="dxa" w:w="80"/>
              <w:left w:type="dxa" w:w="100"/>
              <w:bottom w:type="dxa" w:w="80"/>
              <w:right w:type="dxa" w:w="100"/>
            </w:tcMar>
          </w:tcPr>
          <w:p>
            <w:r>
              <w:rPr>
                <w:b w:val="false"/>
                <w:bCs w:val="false"/>
                <w:color w:val="000000"/>
                <w:sz w:val="20"/>
                <w:szCs w:val="20"/>
              </w:rPr>
              <w:t xml:space="preserve">cross-encoder/ms-marco-MiniLM-L-6-v2</w:t>
            </w:r>
          </w:p>
        </w:tc>
        <w:tc>
          <w:tcPr>
            <w:tcW w:type="dxa" w:w="4000"/>
            <w:tcMar>
              <w:top w:type="dxa" w:w="80"/>
              <w:left w:type="dxa" w:w="100"/>
              <w:bottom w:type="dxa" w:w="80"/>
              <w:right w:type="dxa" w:w="100"/>
            </w:tcMar>
          </w:tcPr>
          <w:p>
            <w:r>
              <w:rPr>
                <w:b w:val="false"/>
                <w:bCs w:val="false"/>
                <w:color w:val="000000"/>
                <w:sz w:val="20"/>
                <w:szCs w:val="20"/>
              </w:rPr>
              <w:t xml:space="preserve">Stage-2 precision pass over the bi-encoder's top-k</w:t>
            </w:r>
          </w:p>
        </w:tc>
      </w:tr>
      <w:tr>
        <w:tc>
          <w:tcPr>
            <w:tcW w:type="dxa" w:w="2400"/>
            <w:tcMar>
              <w:top w:type="dxa" w:w="80"/>
              <w:left w:type="dxa" w:w="100"/>
              <w:bottom w:type="dxa" w:w="80"/>
              <w:right w:type="dxa" w:w="100"/>
            </w:tcMar>
          </w:tcPr>
          <w:p>
            <w:r>
              <w:rPr>
                <w:b w:val="false"/>
                <w:bCs w:val="false"/>
                <w:color w:val="000000"/>
                <w:sz w:val="20"/>
                <w:szCs w:val="20"/>
              </w:rPr>
              <w:t xml:space="preserve">LLM providers</w:t>
            </w:r>
          </w:p>
        </w:tc>
        <w:tc>
          <w:tcPr>
            <w:tcW w:type="dxa" w:w="3600"/>
            <w:tcMar>
              <w:top w:type="dxa" w:w="80"/>
              <w:left w:type="dxa" w:w="100"/>
              <w:bottom w:type="dxa" w:w="80"/>
              <w:right w:type="dxa" w:w="100"/>
            </w:tcMar>
          </w:tcPr>
          <w:p>
            <w:r>
              <w:rPr>
                <w:b w:val="false"/>
                <w:bCs w:val="false"/>
                <w:color w:val="000000"/>
                <w:sz w:val="20"/>
                <w:szCs w:val="20"/>
              </w:rPr>
              <w:t xml:space="preserve">Gemini, Claude, Groq, (Ollama/Llava local)</w:t>
            </w:r>
          </w:p>
        </w:tc>
        <w:tc>
          <w:tcPr>
            <w:tcW w:type="dxa" w:w="4000"/>
            <w:tcMar>
              <w:top w:type="dxa" w:w="80"/>
              <w:left w:type="dxa" w:w="100"/>
              <w:bottom w:type="dxa" w:w="80"/>
              <w:right w:type="dxa" w:w="100"/>
            </w:tcMar>
          </w:tcPr>
          <w:p>
            <w:r>
              <w:rPr>
                <w:b w:val="false"/>
                <w:bCs w:val="false"/>
                <w:color w:val="000000"/>
                <w:sz w:val="20"/>
                <w:szCs w:val="20"/>
              </w:rPr>
              <w:t xml:space="preserve">Task-based routing, see Section 4</w:t>
            </w:r>
          </w:p>
        </w:tc>
      </w:tr>
      <w:tr>
        <w:tc>
          <w:tcPr>
            <w:tcW w:type="dxa" w:w="2400"/>
            <w:tcMar>
              <w:top w:type="dxa" w:w="80"/>
              <w:left w:type="dxa" w:w="100"/>
              <w:bottom w:type="dxa" w:w="80"/>
              <w:right w:type="dxa" w:w="100"/>
            </w:tcMar>
          </w:tcPr>
          <w:p>
            <w:r>
              <w:rPr>
                <w:b w:val="false"/>
                <w:bCs w:val="false"/>
                <w:color w:val="000000"/>
                <w:sz w:val="20"/>
                <w:szCs w:val="20"/>
              </w:rPr>
              <w:t xml:space="preserve">Persistence</w:t>
            </w:r>
          </w:p>
        </w:tc>
        <w:tc>
          <w:tcPr>
            <w:tcW w:type="dxa" w:w="3600"/>
            <w:tcMar>
              <w:top w:type="dxa" w:w="80"/>
              <w:left w:type="dxa" w:w="100"/>
              <w:bottom w:type="dxa" w:w="80"/>
              <w:right w:type="dxa" w:w="100"/>
            </w:tcMar>
          </w:tcPr>
          <w:p>
            <w:r>
              <w:rPr>
                <w:b w:val="false"/>
                <w:bCs w:val="false"/>
                <w:color w:val="000000"/>
                <w:sz w:val="20"/>
                <w:szCs w:val="20"/>
              </w:rPr>
              <w:t xml:space="preserve">MongoDB (GridFS + collections)</w:t>
            </w:r>
          </w:p>
        </w:tc>
        <w:tc>
          <w:tcPr>
            <w:tcW w:type="dxa" w:w="4000"/>
            <w:tcMar>
              <w:top w:type="dxa" w:w="80"/>
              <w:left w:type="dxa" w:w="100"/>
              <w:bottom w:type="dxa" w:w="80"/>
              <w:right w:type="dxa" w:w="100"/>
            </w:tcMar>
          </w:tcPr>
          <w:p>
            <w:r>
              <w:rPr>
                <w:b w:val="false"/>
                <w:bCs w:val="false"/>
                <w:color w:val="000000"/>
                <w:sz w:val="20"/>
                <w:szCs w:val="20"/>
              </w:rPr>
              <w:t xml:space="preserve">One database for files + metadata + feedback instead of Mongo+SQL split</w:t>
            </w:r>
          </w:p>
        </w:tc>
      </w:tr>
      <w:tr>
        <w:tc>
          <w:tcPr>
            <w:tcW w:type="dxa" w:w="2400"/>
            <w:tcMar>
              <w:top w:type="dxa" w:w="80"/>
              <w:left w:type="dxa" w:w="100"/>
              <w:bottom w:type="dxa" w:w="80"/>
              <w:right w:type="dxa" w:w="100"/>
            </w:tcMar>
          </w:tcPr>
          <w:p>
            <w:r>
              <w:rPr>
                <w:b w:val="false"/>
                <w:bCs w:val="false"/>
                <w:color w:val="000000"/>
                <w:sz w:val="20"/>
                <w:szCs w:val="20"/>
              </w:rPr>
              <w:t xml:space="preserve">Live data</w:t>
            </w:r>
          </w:p>
        </w:tc>
        <w:tc>
          <w:tcPr>
            <w:tcW w:type="dxa" w:w="3600"/>
            <w:tcMar>
              <w:top w:type="dxa" w:w="80"/>
              <w:left w:type="dxa" w:w="100"/>
              <w:bottom w:type="dxa" w:w="80"/>
              <w:right w:type="dxa" w:w="100"/>
            </w:tcMar>
          </w:tcPr>
          <w:p>
            <w:r>
              <w:rPr>
                <w:b w:val="false"/>
                <w:bCs w:val="false"/>
                <w:color w:val="000000"/>
                <w:sz w:val="20"/>
                <w:szCs w:val="20"/>
              </w:rPr>
              <w:t xml:space="preserve">yfinance, matplotlib (in-memory)</w:t>
            </w:r>
          </w:p>
        </w:tc>
        <w:tc>
          <w:tcPr>
            <w:tcW w:type="dxa" w:w="4000"/>
            <w:tcMar>
              <w:top w:type="dxa" w:w="80"/>
              <w:left w:type="dxa" w:w="100"/>
              <w:bottom w:type="dxa" w:w="80"/>
              <w:right w:type="dxa" w:w="100"/>
            </w:tcMar>
          </w:tcPr>
          <w:p>
            <w:r>
              <w:rPr>
                <w:b w:val="false"/>
                <w:bCs w:val="false"/>
                <w:color w:val="000000"/>
                <w:sz w:val="20"/>
                <w:szCs w:val="20"/>
              </w:rPr>
              <w:t xml:space="preserve">Historical prices, fundamentals, DCF, charts as base64 PNG</w:t>
            </w:r>
          </w:p>
        </w:tc>
      </w:tr>
      <w:tr>
        <w:tc>
          <w:tcPr>
            <w:tcW w:type="dxa" w:w="2400"/>
            <w:tcMar>
              <w:top w:type="dxa" w:w="80"/>
              <w:left w:type="dxa" w:w="100"/>
              <w:bottom w:type="dxa" w:w="80"/>
              <w:right w:type="dxa" w:w="100"/>
            </w:tcMar>
          </w:tcPr>
          <w:p>
            <w:r>
              <w:rPr>
                <w:b w:val="false"/>
                <w:bCs w:val="false"/>
                <w:color w:val="000000"/>
                <w:sz w:val="20"/>
                <w:szCs w:val="20"/>
              </w:rPr>
              <w:t xml:space="preserve">Web search</w:t>
            </w:r>
          </w:p>
        </w:tc>
        <w:tc>
          <w:tcPr>
            <w:tcW w:type="dxa" w:w="3600"/>
            <w:tcMar>
              <w:top w:type="dxa" w:w="80"/>
              <w:left w:type="dxa" w:w="100"/>
              <w:bottom w:type="dxa" w:w="80"/>
              <w:right w:type="dxa" w:w="100"/>
            </w:tcMar>
          </w:tcPr>
          <w:p>
            <w:r>
              <w:rPr>
                <w:b w:val="false"/>
                <w:bCs w:val="false"/>
                <w:color w:val="000000"/>
                <w:sz w:val="20"/>
                <w:szCs w:val="20"/>
              </w:rPr>
              <w:t xml:space="preserve">Tavily API</w:t>
            </w:r>
          </w:p>
        </w:tc>
        <w:tc>
          <w:tcPr>
            <w:tcW w:type="dxa" w:w="4000"/>
            <w:tcMar>
              <w:top w:type="dxa" w:w="80"/>
              <w:left w:type="dxa" w:w="100"/>
              <w:bottom w:type="dxa" w:w="80"/>
              <w:right w:type="dxa" w:w="100"/>
            </w:tcMar>
          </w:tcPr>
          <w:p>
            <w:r>
              <w:rPr>
                <w:b w:val="false"/>
                <w:bCs w:val="false"/>
                <w:color w:val="000000"/>
                <w:sz w:val="20"/>
                <w:szCs w:val="20"/>
              </w:rPr>
              <w:t xml:space="preserve">LLM-optimized search with a synthesized-answer field</w:t>
            </w:r>
          </w:p>
        </w:tc>
      </w:tr>
      <w:tr>
        <w:tc>
          <w:tcPr>
            <w:tcW w:type="dxa" w:w="2400"/>
            <w:tcMar>
              <w:top w:type="dxa" w:w="80"/>
              <w:left w:type="dxa" w:w="100"/>
              <w:bottom w:type="dxa" w:w="80"/>
              <w:right w:type="dxa" w:w="100"/>
            </w:tcMar>
          </w:tcPr>
          <w:p>
            <w:r>
              <w:rPr>
                <w:b w:val="false"/>
                <w:bCs w:val="false"/>
                <w:color w:val="000000"/>
                <w:sz w:val="20"/>
                <w:szCs w:val="20"/>
              </w:rPr>
              <w:t xml:space="preserve">Deployment</w:t>
            </w:r>
          </w:p>
        </w:tc>
        <w:tc>
          <w:tcPr>
            <w:tcW w:type="dxa" w:w="3600"/>
            <w:tcMar>
              <w:top w:type="dxa" w:w="80"/>
              <w:left w:type="dxa" w:w="100"/>
              <w:bottom w:type="dxa" w:w="80"/>
              <w:right w:type="dxa" w:w="100"/>
            </w:tcMar>
          </w:tcPr>
          <w:p>
            <w:r>
              <w:rPr>
                <w:b w:val="false"/>
                <w:bCs w:val="false"/>
                <w:color w:val="000000"/>
                <w:sz w:val="20"/>
                <w:szCs w:val="20"/>
              </w:rPr>
              <w:t xml:space="preserve">Docker Compose (local) / Render + Vercel (hosted)</w:t>
            </w:r>
          </w:p>
        </w:tc>
        <w:tc>
          <w:tcPr>
            <w:tcW w:type="dxa" w:w="4000"/>
            <w:tcMar>
              <w:top w:type="dxa" w:w="80"/>
              <w:left w:type="dxa" w:w="100"/>
              <w:bottom w:type="dxa" w:w="80"/>
              <w:right w:type="dxa" w:w="100"/>
            </w:tcMar>
          </w:tcPr>
          <w:p>
            <w:r>
              <w:rPr>
                <w:b w:val="false"/>
                <w:bCs w:val="false"/>
                <w:color w:val="000000"/>
                <w:sz w:val="20"/>
                <w:szCs w:val="20"/>
              </w:rPr>
              <w:t xml:space="preserve">Dev/prod parity; one command brings up the full stack</w:t>
            </w:r>
          </w:p>
        </w:tc>
      </w:tr>
    </w:tbl>
    <w:p>
      <w:pPr>
        <w:pStyle w:val="Heading1"/>
        <w:spacing w:after="160" w:before="360"/>
      </w:pPr>
      <w:r>
        <w:t xml:space="preserve">3. Architecture Walkthrough</w:t>
      </w:r>
    </w:p>
    <w:p>
      <w:pPr>
        <w:spacing w:after="80" w:before="220"/>
      </w:pPr>
      <w:r>
        <w:rPr>
          <w:b/>
          <w:bCs/>
          <w:color w:val="8E2E2E"/>
        </w:rPr>
        <w:t xml:space="preserve">Q: </w:t>
      </w:r>
      <w:r>
        <w:rPr>
          <w:b/>
          <w:bCs/>
        </w:rPr>
        <w:t xml:space="preserve">Walk me through what happens when a user asks a question.</w:t>
      </w:r>
    </w:p>
    <w:p>
      <w:pPr>
        <w:spacing w:after="80"/>
        <w:ind w:left="0"/>
      </w:pPr>
      <w:r>
        <w:rPr>
          <w:b/>
          <w:bCs/>
        </w:rPr>
        <w:t xml:space="preserve"/>
      </w:r>
      <w:r>
        <w:t xml:space="preserve">The frontend POSTs { prompt, thread_id, source_filename? } to /chat. api.py wraps the prompt in a HumanMessage and invokes the compiled LangGraph app with that thread_id as the checkpointer key.</w:t>
      </w:r>
    </w:p>
    <w:p>
      <w:pPr>
        <w:spacing w:after="80"/>
        <w:ind w:left="0"/>
      </w:pPr>
      <w:r>
        <w:rPr>
          <w:b/>
          <w:bCs/>
        </w:rPr>
        <w:t xml:space="preserve"/>
      </w:r>
      <w:r>
        <w:t xml:space="preserve">retrieve_node runs first unconditionally: it calls the two-stage retriever (ChromaDB similarity search filtered by source_filename if the user scoped to a specific document, then cross-encoder rerank) and stores the joined context on state.</w:t>
      </w:r>
    </w:p>
    <w:p>
      <w:pPr>
        <w:spacing w:after="80"/>
        <w:ind w:left="0"/>
      </w:pPr>
      <w:r>
        <w:rPr>
          <w:b/>
          <w:bCs/>
        </w:rPr>
        <w:t xml:space="preserve"/>
      </w:r>
      <w:r>
        <w:t xml:space="preserve">grade_documents_node asks the 'grader' LLM role for a binary yes/no on whether that retrieved context is actually relevant to the question (structured output, with a plain-text fallback if structured output fails).</w:t>
      </w:r>
    </w:p>
    <w:p>
      <w:pPr>
        <w:spacing w:after="80"/>
        <w:ind w:left="0"/>
      </w:pPr>
      <w:r>
        <w:rPr>
          <w:b/>
          <w:bCs/>
        </w:rPr>
        <w:t xml:space="preserve"/>
      </w:r>
      <w:r>
        <w:t xml:space="preserve">decide_to_generate then branches: if the grader said 'no' AND the question is not scoped to a specific document, route to web_search_node (Tavily); otherwise go straight to generate_node with whatever was retrieved. Scoped questions never fall back to the web — that's a deliberate guardrail.</w:t>
      </w:r>
    </w:p>
    <w:p>
      <w:pPr>
        <w:spacing w:after="80"/>
        <w:ind w:left="0"/>
      </w:pPr>
      <w:r>
        <w:rPr>
          <w:b/>
          <w:bCs/>
        </w:rPr>
        <w:t xml:space="preserve"/>
      </w:r>
      <w:r>
        <w:t xml:space="preserve">generate_node calls the 'synthesis' LLM with all tools bound (calculator, plot_stock_chart, get_stock_fundamentals, compare_stocks, get_news_sentiment, calculate_intrinsic_value, analyze_document_visually) and a system prompt that frames it as an elite financial advisor and requires per-sentence citations.</w:t>
      </w:r>
    </w:p>
    <w:p>
      <w:pPr>
        <w:spacing w:after="200"/>
        <w:ind w:left="0"/>
      </w:pPr>
      <w:r>
        <w:rPr>
          <w:b/>
          <w:bCs/>
        </w:rPr>
        <w:t xml:space="preserve"/>
      </w:r>
      <w:r>
        <w:t xml:space="preserve">should_continue checks if the model's response contains tool_calls. If yes, route to the tools node (a LangGraph prebuilt ToolNode), execute them, and loop back to generate_node so the model can incorporate the tool output into its final answer. If no tool calls, the graph ends and that message is the final answer.</w:t>
      </w:r>
    </w:p>
    <w:p>
      <w:pPr>
        <w:spacing w:after="80" w:before="220"/>
      </w:pPr>
      <w:r>
        <w:rPr>
          <w:b/>
          <w:bCs/>
          <w:color w:val="8E2E2E"/>
        </w:rPr>
        <w:t xml:space="preserve">Q: </w:t>
      </w:r>
      <w:r>
        <w:rPr>
          <w:b/>
          <w:bCs/>
        </w:rPr>
        <w:t xml:space="preserve">Why LangGraph instead of a single prompt with function calling, or a simple if/else router?</w:t>
      </w:r>
    </w:p>
    <w:p>
      <w:pPr>
        <w:spacing w:after="200"/>
        <w:ind w:left="0"/>
      </w:pPr>
      <w:r>
        <w:rPr>
          <w:b/>
          <w:bCs/>
        </w:rPr>
        <w:t xml:space="preserve">A: </w:t>
      </w:r>
      <w:r>
        <w:t xml:space="preserve">Because the routing itself has state and conditional branches that are easier to reason about, test, and extend as an explicit graph than as nested if/else inside one function: retrieve → grade → (web_search | generate) → (tools | end) → tools loops back to generate. LangGraph's StateGraph makes each of those a named node with typed state (AgentState is a TypedDict), and the checkpointer (MemorySaver) gives per-thread conversation memory for free. A flat function could do the same thing, but the graph makes the CRAG-style correction loop and the tool-calling loop visually and structurally explicit, which matters once you're adding a 4th and 5th pathway (vision, then whatever comes next).</w:t>
      </w:r>
    </w:p>
    <w:p>
      <w:pPr>
        <w:spacing w:after="80" w:before="220"/>
      </w:pPr>
      <w:r>
        <w:rPr>
          <w:b/>
          <w:bCs/>
          <w:color w:val="8E2E2E"/>
        </w:rPr>
        <w:t xml:space="preserve">Q: </w:t>
      </w:r>
      <w:r>
        <w:rPr>
          <w:b/>
          <w:bCs/>
        </w:rPr>
        <w:t xml:space="preserve">What is 'CRAG-style' and why does that term apply here?</w:t>
      </w:r>
    </w:p>
    <w:p>
      <w:pPr>
        <w:spacing w:after="200"/>
        <w:ind w:left="0"/>
      </w:pPr>
      <w:r>
        <w:rPr>
          <w:b/>
          <w:bCs/>
        </w:rPr>
        <w:t xml:space="preserve">A: </w:t>
      </w:r>
      <w:r>
        <w:t xml:space="preserve">CRAG (Corrective RAG) is the pattern of not blindly trusting retrieved documents — grading their relevance first, and if they're graded irrelevant, correcting by pulling from an alternative source instead of answering from bad context. That's exactly grade_documents_node + the conditional edge to web_search_node: retrieve, grade, and if the grade says the local documents don't actually answer the question, fall back to a live web search rather than hallucinating from irrelevant chunks. The one deliberate deviation from vanilla CRAG is the document-scoping guardrail — normally CRAG would always try the corrective step on a 'no' grade, but here that's suppressed when the user has explicitly scoped to one document, because substituting web content for a document-scoped question is a worse failure mode than an honest 'I don't know.'</w:t>
      </w:r>
    </w:p>
    <w:p>
      <w:pPr>
        <w:spacing w:after="80" w:before="220"/>
      </w:pPr>
      <w:r>
        <w:rPr>
          <w:b/>
          <w:bCs/>
          <w:color w:val="8E2E2E"/>
        </w:rPr>
        <w:t xml:space="preserve">Q: </w:t>
      </w:r>
      <w:r>
        <w:rPr>
          <w:b/>
          <w:bCs/>
        </w:rPr>
        <w:t xml:space="preserve">How does document-scoping (source_filename) actually work end to end?</w:t>
      </w:r>
    </w:p>
    <w:p>
      <w:pPr>
        <w:spacing w:after="200"/>
        <w:ind w:left="0"/>
      </w:pPr>
      <w:r>
        <w:rPr>
          <w:b/>
          <w:bCs/>
        </w:rPr>
        <w:t xml:space="preserve">A: </w:t>
      </w:r>
      <w:r>
        <w:t xml:space="preserve">The frontend passes source_filename through the /chat request when the user has a specific uploaded document selected. That flows into AgentState and retrieve_node passes it to the retriever as a Chroma metadata filter ({"source": source_filename}), so Stage-1 similarity search only searches chunks from that file. It's also read directly in decide_to_generate to suppress the web-search fallback. So it affects both what gets retrieved and what happens if retrieval comes back weak.</w:t>
      </w:r>
    </w:p>
    <w:p>
      <w:pPr>
        <w:spacing w:after="80" w:before="220"/>
      </w:pPr>
      <w:r>
        <w:rPr>
          <w:b/>
          <w:bCs/>
          <w:color w:val="8E2E2E"/>
        </w:rPr>
        <w:t xml:space="preserve">Q: </w:t>
      </w:r>
      <w:r>
        <w:rPr>
          <w:b/>
          <w:bCs/>
        </w:rPr>
        <w:t xml:space="preserve">What's actually stored in ChromaDB, and what triggers ingestion?</w:t>
      </w:r>
    </w:p>
    <w:p>
      <w:pPr>
        <w:spacing w:after="200"/>
        <w:ind w:left="0"/>
      </w:pPr>
      <w:r>
        <w:rPr>
          <w:b/>
          <w:bCs/>
        </w:rPr>
        <w:t xml:space="preserve">A: </w:t>
      </w:r>
      <w:r>
        <w:t xml:space="preserve">POST /ingest accepts a file upload (PDF or Markdown). For PDFs, ingest.extract_text_from_pdf() uses pypdf to pull per-page text and synthesizes a '### Page N' markdown header per page, purely so the downstream splitter has structural boundaries to chunk around. process_and_ingest then runs a two-level chunking strategy: MarkdownHeaderTextSplitter first splits on #/##/### into Company/Fiscal_Quarter/Section-tagged parent chunks (and copies those tags into each chunk's metadata), then RecursiveCharacterTextSplitter (1200 chars, 120 overlap, hierarchical separators) breaks any parent chunk that's still too big for the embedding model's 512-token limit. Each final chunk is embedded with BAAI/bge-small-en-v1.5 and written into a Chroma collection called 'tech_documents' with source metadata.</w:t>
      </w:r>
    </w:p>
    <w:p>
      <w:pPr>
        <w:pStyle w:val="Heading1"/>
        <w:spacing w:after="160" w:before="360"/>
      </w:pPr>
      <w:r>
        <w:t xml:space="preserve">4. Deep-Dive by Resume Bullet</w:t>
      </w:r>
    </w:p>
    <w:p>
      <w:pPr>
        <w:pStyle w:val="Heading2"/>
        <w:spacing w:after="100" w:before="240"/>
      </w:pPr>
      <w:r>
        <w:t xml:space="preserve">Bullet 1 — "LangGraph semantic router... four pathways"</w:t>
      </w:r>
    </w:p>
    <w:p>
      <w:pPr>
        <w:spacing w:after="80" w:before="220"/>
      </w:pPr>
      <w:r>
        <w:rPr>
          <w:b/>
          <w:bCs/>
          <w:color w:val="8E2E2E"/>
        </w:rPr>
        <w:t xml:space="preserve">Q: </w:t>
      </w:r>
      <w:r>
        <w:rPr>
          <w:b/>
          <w:bCs/>
        </w:rPr>
        <w:t xml:space="preserve">How does the router decide which of the four pathways to use?</w:t>
      </w:r>
    </w:p>
    <w:p>
      <w:pPr>
        <w:spacing w:after="200"/>
        <w:ind w:left="0"/>
      </w:pPr>
      <w:r>
        <w:rPr>
          <w:b/>
          <w:bCs/>
        </w:rPr>
        <w:t xml:space="preserve">A: </w:t>
      </w:r>
      <w:r>
        <w:t xml:space="preserve">There isn't one single upfront classifier picking 1-of-4 — it's a combination of the graph structure and the LLM's own tool-calling judgment. RAG retrieval always runs first (retrieve_node is unconditional). Whether it's actually used or replaced by web search is decided by the grader + the scoping guardrail. Live market data and the vision tool are exposed to the synthesis model as ordinary bound tools (plot_stock_chart, get_stock_fundamentals, compare_stocks, get_news_sentiment, calculate_intrinsic_value, analyze_document_visually) — the model itself decides, based on the question and the system prompt, whether to call one of those instead of just answering from context. So 'RAG vs web search' is graph-level routing; 'quantitative/vision tool vs plain answer' is model-level tool-calling.</w:t>
      </w:r>
    </w:p>
    <w:p>
      <w:pPr>
        <w:spacing w:after="80" w:before="220"/>
      </w:pPr>
      <w:r>
        <w:rPr>
          <w:b/>
          <w:bCs/>
          <w:color w:val="8E2E2E"/>
        </w:rPr>
        <w:t xml:space="preserve">Q: </w:t>
      </w:r>
      <w:r>
        <w:rPr>
          <w:b/>
          <w:bCs/>
        </w:rPr>
        <w:t xml:space="preserve">Why did you split routing into 'graph-level' (RAG vs web) and 'model-level' (tool calls) instead of one unified router?</w:t>
      </w:r>
    </w:p>
    <w:p>
      <w:pPr>
        <w:spacing w:after="200"/>
        <w:ind w:left="0"/>
      </w:pPr>
      <w:r>
        <w:rPr>
          <w:b/>
          <w:bCs/>
        </w:rPr>
        <w:t xml:space="preserve">A: </w:t>
      </w:r>
      <w:r>
        <w:t xml:space="preserve">Because they're different kinds of decisions. RAG-vs-web-search is a binary decision about where the *context* should come from, made before generation, based on a cheap relevance grade — it doesn't need the full reasoning power of the synthesis model. Whether to plot a chart, run a DCF, or visually inspect a page is much more open-ended and benefits from the synthesis model's own judgment of intent, plus it can be combined with retrieved context in the same answer (e.g. 'this document says X, and here's a chart to go with it'). Forcing that into a rigid graph-level branch would have meant either a much bigger graph or a worse experience when a question needs two tools at once.</w:t>
      </w:r>
    </w:p>
    <w:p>
      <w:pPr>
        <w:pStyle w:val="Heading2"/>
        <w:spacing w:after="100" w:before="240"/>
      </w:pPr>
      <w:r>
        <w:t xml:space="preserve">Bullet 2 — task-based multi-model routing with fallback</w:t>
      </w:r>
    </w:p>
    <w:p>
      <w:pPr>
        <w:spacing w:after="80" w:before="220"/>
      </w:pPr>
      <w:r>
        <w:rPr>
          <w:b/>
          <w:bCs/>
          <w:color w:val="8E2E2E"/>
        </w:rPr>
        <w:t xml:space="preserve">Q: </w:t>
      </w:r>
      <w:r>
        <w:rPr>
          <w:b/>
          <w:bCs/>
        </w:rPr>
        <w:t xml:space="preserve">Explain the grader / synthesis / vision role split and why it exists.</w:t>
      </w:r>
    </w:p>
    <w:p>
      <w:pPr>
        <w:spacing w:after="200"/>
        <w:ind w:left="0"/>
      </w:pPr>
      <w:r>
        <w:rPr>
          <w:b/>
          <w:bCs/>
        </w:rPr>
        <w:t xml:space="preserve">A: </w:t>
      </w:r>
      <w:r>
        <w:t xml:space="preserve">Three tasks in the pipeline have very different quality/cost/latency needs. The grader does a trivial yes/no relevance classification on every single query — high frequency, low reasoning difficulty — so it's routed to a fast/cheap chain (Groq first, Gemini fallback by default). The synthesizer writes the actual advisory answer with citations and financial reasoning — this is where quality genuinely matters — so it gets a stronger chain (Gemini first, Claude fallback by default). Vision does multimodal page reading for tables/charts, its own chain (Gemini, then Claude, then a fully local Ollama/Llava option). Splitting these into independent provider chains means a burst of cheap grading calls can't burn through the quota the expensive synthesis step needs, and vice versa.</w:t>
      </w:r>
    </w:p>
    <w:p>
      <w:pPr>
        <w:spacing w:after="80" w:before="220"/>
      </w:pPr>
      <w:r>
        <w:rPr>
          <w:b/>
          <w:bCs/>
          <w:color w:val="8E2E2E"/>
        </w:rPr>
        <w:t xml:space="preserve">Q: </w:t>
      </w:r>
      <w:r>
        <w:rPr>
          <w:b/>
          <w:bCs/>
        </w:rPr>
        <w:t xml:space="preserve">How exactly does the fallback mechanism work in code?</w:t>
      </w:r>
    </w:p>
    <w:p>
      <w:pPr>
        <w:spacing w:after="200"/>
        <w:ind w:left="0"/>
      </w:pPr>
      <w:r>
        <w:rPr>
          <w:b/>
          <w:bCs/>
        </w:rPr>
        <w:t xml:space="preserve">A: </w:t>
      </w:r>
      <w:r>
        <w:t xml:space="preserve">llm_config.py's FallbackLLM class wraps a role name. Calling .invoke(), .with_structured_output(schema).invoke(), or .bind_tools(tools).invoke() on it all funnel through _call_with_fallback(), which walks that role's provider chain in order, tries the call against each provider's cached client, and on ANY exception (rate limit, quota, auth, overload — classified only for a clearer log message, not for different handling) logs a warning and moves to the next provider. If every provider in the chain fails, the last error is re-raised. This gives the exact same .invoke()/.bind_tools() surface as a normal LangChain chat model, so agent.py's nodes don't need to know fallback is happening at all.</w:t>
      </w:r>
    </w:p>
    <w:p>
      <w:pPr>
        <w:spacing w:after="80" w:before="220"/>
      </w:pPr>
      <w:r>
        <w:rPr>
          <w:b/>
          <w:bCs/>
          <w:color w:val="8E2E2E"/>
        </w:rPr>
        <w:t xml:space="preserve">Q: </w:t>
      </w:r>
      <w:r>
        <w:rPr>
          <w:b/>
          <w:bCs/>
        </w:rPr>
        <w:t xml:space="preserve">What real failure did this fallback logic fix?</w:t>
      </w:r>
    </w:p>
    <w:p>
      <w:pPr>
        <w:spacing w:after="200"/>
        <w:ind w:left="0"/>
      </w:pPr>
      <w:r>
        <w:rPr>
          <w:b/>
          <w:bCs/>
        </w:rPr>
        <w:t xml:space="preserve">A: </w:t>
      </w:r>
      <w:r>
        <w:t xml:space="preserve">During testing, three vision calls in quick succession exhausted Gemini's free-tier per-minute quota (a RESOURCE_EXHAUSTED / 5-per-minute error), and without fallback, the request sat retrying through Gemini's own backoff for nearly a minute before failing. With the fallback chain in place, that third call goes straight to Claude instead, so the user gets an answer in normal latency instead of a near-minute hang or an outright crash.</w:t>
      </w:r>
    </w:p>
    <w:p>
      <w:pPr>
        <w:spacing w:after="80" w:before="220"/>
      </w:pPr>
      <w:r>
        <w:rPr>
          <w:b/>
          <w:bCs/>
          <w:color w:val="8E2E2E"/>
        </w:rPr>
        <w:t xml:space="preserve">Q: </w:t>
      </w:r>
      <w:r>
        <w:rPr>
          <w:b/>
          <w:bCs/>
        </w:rPr>
        <w:t xml:space="preserve">Your resume bullet says vision routes to Llava — is that the default in code?</w:t>
      </w:r>
    </w:p>
    <w:p>
      <w:pPr>
        <w:spacing w:after="200"/>
        <w:ind w:left="0"/>
      </w:pPr>
      <w:r>
        <w:rPr>
          <w:b/>
          <w:bCs/>
        </w:rPr>
        <w:t xml:space="preserve">A: </w:t>
      </w:r>
      <w:r>
        <w:t xml:space="preserve">Worth being precise about this one if it comes up: the coded default vision chain is ["gemini", "claude", "ollama"] — Gemini is tried first, Claude second, and Ollama (running the Llava model locally, no API key needed) is the third fallback. The resume bullet highlights Llava specifically because it's the most interesting engineering point — a fully local, zero-cost, zero-API-key vision option exists in the chain — not because it's first. If an interviewer pushes on the literal order, the honest answer is 'Gemini is the default primary vision provider; Llava via Ollama is there as a local, keyless fallback,' and the provider chain is fully configurable via a VISION_PROVIDERS env var either way.</w:t>
      </w:r>
    </w:p>
    <w:p>
      <w:pPr>
        <w:pStyle w:val="Heading2"/>
        <w:spacing w:after="100" w:before="240"/>
      </w:pPr>
      <w:r>
        <w:t xml:space="preserve">Bullet 3 — CRAG-style RAG, two-stage retrieval, 100% Top-1</w:t>
      </w:r>
    </w:p>
    <w:p>
      <w:pPr>
        <w:spacing w:after="80" w:before="220"/>
      </w:pPr>
      <w:r>
        <w:rPr>
          <w:b/>
          <w:bCs/>
          <w:color w:val="8E2E2E"/>
        </w:rPr>
        <w:t xml:space="preserve">Q: </w:t>
      </w:r>
      <w:r>
        <w:rPr>
          <w:b/>
          <w:bCs/>
        </w:rPr>
        <w:t xml:space="preserve">Walk through the two-stage retrieval pipeline in detail.</w:t>
      </w:r>
    </w:p>
    <w:p>
      <w:pPr>
        <w:spacing w:after="80"/>
        <w:ind w:left="0"/>
      </w:pPr>
      <w:r>
        <w:rPr>
          <w:b/>
          <w:bCs/>
        </w:rPr>
        <w:t xml:space="preserve"/>
      </w:r>
      <w:r>
        <w:t xml:space="preserve">Stage 1 (recall): TwoStageRetriever.invoke() runs Chroma's similarity_search with the bi-encoder (BAAI/bge-small-en-v1.5, normalized embeddings for cosine similarity) to pull the top k_initial=10 candidates, optionally filtered to a single document via the source metadata field.</w:t>
      </w:r>
    </w:p>
    <w:p>
      <w:pPr>
        <w:spacing w:after="80"/>
        <w:ind w:left="0"/>
      </w:pPr>
      <w:r>
        <w:rPr>
          <w:b/>
          <w:bCs/>
        </w:rPr>
        <w:t xml:space="preserve"/>
      </w:r>
      <w:r>
        <w:t xml:space="preserve">Stage 2 (precision): each of those 10 is paired with the raw query as (query, chunk) and scored by a cross-encoder (cross-encoder/ms-marco-MiniLM-L-6-v2), which — unlike a bi-encoder — attends to the query and document jointly, so it's slower per-pair but much better at judging true relevance. The 10 pairs are sorted by that score and the top k_final=3 are kept.</w:t>
      </w:r>
    </w:p>
    <w:p>
      <w:pPr>
        <w:spacing w:after="200"/>
        <w:ind w:left="0"/>
      </w:pPr>
      <w:r>
        <w:rPr>
          <w:b/>
          <w:bCs/>
        </w:rPr>
        <w:t xml:space="preserve"/>
      </w:r>
      <w:r>
        <w:t xml:space="preserve">Why two stages instead of one: the bi-encoder is fast enough to search over the whole collection but embeds the query and document independently, which loses some precision; the cross-encoder is too slow to run over the full collection but is much more accurate on a short list. Running bi-encoder-for-recall then cross-encoder-for-precision is the standard way to get both speed and quality.</w:t>
      </w:r>
    </w:p>
    <w:p>
      <w:pPr>
        <w:spacing w:after="80" w:before="220"/>
      </w:pPr>
      <w:r>
        <w:rPr>
          <w:b/>
          <w:bCs/>
          <w:color w:val="8E2E2E"/>
        </w:rPr>
        <w:t xml:space="preserve">Q: </w:t>
      </w:r>
      <w:r>
        <w:rPr>
          <w:b/>
          <w:bCs/>
        </w:rPr>
        <w:t xml:space="preserve">How was the 100% Top-1 / Top-3 accuracy number actually produced — what would you say if someone challenged it as not rigorous?</w:t>
      </w:r>
    </w:p>
    <w:p>
      <w:pPr>
        <w:spacing w:after="200"/>
        <w:ind w:left="0"/>
      </w:pPr>
      <w:r>
        <w:rPr>
          <w:b/>
          <w:bCs/>
        </w:rPr>
        <w:t xml:space="preserve">A: </w:t>
      </w:r>
      <w:r>
        <w:t xml:space="preserve">It's a self-curated benchmark, not a blind third-party eval: 10 documents in ChromaDB (earnings-report-style markdown summaries for AAPL, AMZN, GOOGL, JPM, META, MSFT, NVDA, TSLA plus two samples), chunked into ~50 semantic chunks, and a hand-written test set of 15 (question, expected-source-document) pairs run through evaluate_retrieval.py, checking whether the retriever's #1 (or top-3) result actually came from the expected source document. The honest caveat: with only 10 documents and 15 questions, and the same person writing both the documents and the eval questions, 100% is a reasonable ceiling to hit and mainly demonstrates the pipeline works correctly end-to-end — it isn't evidence of retrieval quality at production scale (hundreds of documents, more topically overlapping content, adversarial or ambiguous questions). If asked how I'd harden that claim: grow the corpus, get someone else to write the eval questions, and add harder negative examples where two documents are superficially similar.</w:t>
      </w:r>
    </w:p>
    <w:p>
      <w:pPr>
        <w:spacing w:after="80" w:before="220"/>
      </w:pPr>
      <w:r>
        <w:rPr>
          <w:b/>
          <w:bCs/>
          <w:color w:val="8E2E2E"/>
        </w:rPr>
        <w:t xml:space="preserve">Q: </w:t>
      </w:r>
      <w:r>
        <w:rPr>
          <w:b/>
          <w:bCs/>
        </w:rPr>
        <w:t xml:space="preserve">What is a cross-encoder, in your own words, and why does BAAI/bge-reranker-base appear in the file but ms-marco-MiniLM-L-6-v2 is actually used?</w:t>
      </w:r>
    </w:p>
    <w:p>
      <w:pPr>
        <w:spacing w:after="200"/>
        <w:ind w:left="0"/>
      </w:pPr>
      <w:r>
        <w:rPr>
          <w:b/>
          <w:bCs/>
        </w:rPr>
        <w:t xml:space="preserve">A: </w:t>
      </w:r>
      <w:r>
        <w:t xml:space="preserve">A cross-encoder takes the query and a candidate document together as one input and outputs a single relevance score — as opposed to a bi-encoder, which embeds them separately into vectors compared by cosine similarity. Concatenating them lets the model's attention layers directly compare query terms against document terms, which is why cross-encoders rerank better but can't be precomputed/indexed the way bi-encoder embeddings can (there's no way to precompute a score against a query that doesn't exist yet). On the naming: retriever.py actually defines RERANKER_MODEL_NAME twice — once as "BAAI/bge-reranker-base", then reassigned a few lines later to "cross-encoder/ms-marco-MiniLM-L-6-v2", and Python just uses the second (later) value. It's a leftover from swapping reranker models during development and a legitimate piece of dead code to clean up — the model actually loaded and used at runtime is ms-marco-MiniLM-L-6-v2.</w:t>
      </w:r>
    </w:p>
    <w:p>
      <w:pPr>
        <w:spacing w:after="80" w:before="220"/>
      </w:pPr>
      <w:r>
        <w:rPr>
          <w:b/>
          <w:bCs/>
          <w:color w:val="8E2E2E"/>
        </w:rPr>
        <w:t xml:space="preserve">Q: </w:t>
      </w:r>
      <w:r>
        <w:rPr>
          <w:b/>
          <w:bCs/>
        </w:rPr>
        <w:t xml:space="preserve">Does 'SEC filings benchmark' on the resume mean you parsed raw SEC EDGAR filings?</w:t>
      </w:r>
    </w:p>
    <w:p>
      <w:pPr>
        <w:spacing w:after="200"/>
        <w:ind w:left="0"/>
      </w:pPr>
      <w:r>
        <w:rPr>
          <w:b/>
          <w:bCs/>
        </w:rPr>
        <w:t xml:space="preserve">A: </w:t>
      </w:r>
      <w:r>
        <w:t xml:space="preserve">No — worth being precise here too. The data/ directory holds markdown earnings-report summaries (e.g. AMZN_Q3_2024_Earnings.md, JPM_Q4_2024_Earnings.md) and there's PDF ingestion support for real earnings-call/10-K-style PDFs via the vision tool and pypdf extraction, but the benchmarked corpus itself is curated markdown summaries, not raw XBRL/EDGAR filings. If asked directly, the accurate framing is 'earnings-report and 10-K-style financial documents formatted as structured markdown,' and I'd tighten that resume wording to avoid implying a raw-SEC-filing parser that doesn't exist.</w:t>
      </w:r>
    </w:p>
    <w:p>
      <w:pPr>
        <w:pStyle w:val="Heading2"/>
        <w:spacing w:after="100" w:before="240"/>
      </w:pPr>
      <w:r>
        <w:t xml:space="preserve">Bullet 4 — multimodal document understanding tool</w:t>
      </w:r>
    </w:p>
    <w:p>
      <w:pPr>
        <w:spacing w:after="80" w:before="220"/>
      </w:pPr>
      <w:r>
        <w:rPr>
          <w:b/>
          <w:bCs/>
          <w:color w:val="8E2E2E"/>
        </w:rPr>
        <w:t xml:space="preserve">Q: </w:t>
      </w:r>
      <w:r>
        <w:rPr>
          <w:b/>
          <w:bCs/>
        </w:rPr>
        <w:t xml:space="preserve">Why does text extraction fail for tables and charts, and how does the vision tool fix it?</w:t>
      </w:r>
    </w:p>
    <w:p>
      <w:pPr>
        <w:spacing w:after="200"/>
        <w:ind w:left="0"/>
      </w:pPr>
      <w:r>
        <w:rPr>
          <w:b/>
          <w:bCs/>
        </w:rPr>
        <w:t xml:space="preserve">A: </w:t>
      </w:r>
      <w:r>
        <w:t xml:space="preserve">pypdf's extract_text() (used for RAG ingestion) has no concept of a table — it just emits whatever text tokens the PDF's content stream contains in whatever order they were drawn, so a segment-revenue table often comes out as scrambled, column-order-garbled text, and a bar chart contributes nothing but maybe an axis label. Rather than write more text-layer heuristics to fix that, analyze_document_visually (a bound LangGraph tool) fetches the original PDF bytes back out of MongoDB GridFS, uses PyMuPDF (fitz) to render one specific page to a PNG at 150 DPI (matrix = dpi/72 scale factor, since PDF's native resolution is 72 DPI), and sends that image straight to a vision-capable model with the user's question. The model reads the table or chart the way a human analyst would — by looking at it — instead of relying on mangled extracted text.</w:t>
      </w:r>
    </w:p>
    <w:p>
      <w:pPr>
        <w:spacing w:after="80" w:before="220"/>
      </w:pPr>
      <w:r>
        <w:rPr>
          <w:b/>
          <w:bCs/>
          <w:color w:val="8E2E2E"/>
        </w:rPr>
        <w:t xml:space="preserve">Q: </w:t>
      </w:r>
      <w:r>
        <w:rPr>
          <w:b/>
          <w:bCs/>
        </w:rPr>
        <w:t xml:space="preserve">What does 'provider-aware content-block formatting for cross-model compatibility' mean concretely?</w:t>
      </w:r>
    </w:p>
    <w:p>
      <w:pPr>
        <w:spacing w:after="200"/>
        <w:ind w:left="0"/>
      </w:pPr>
      <w:r>
        <w:rPr>
          <w:b/>
          <w:bCs/>
        </w:rPr>
        <w:t xml:space="preserve">A: </w:t>
      </w:r>
      <w:r>
        <w:t xml:space="preserve">Claude and Gemini expect different JSON shapes for an image in a chat message. Claude wants {"type": "image", "source": {"type": "base64", "media_type": "image/png", "data": ...}}; Gemini (and Ollama, via langchain_ollama) expect {"type": "image_url", "image_url": "data:image/png;base64,..."}. llm_config._build_vision_message() branches on the provider name and builds the right block, so vision_tool.py just calls invoke_vision_with_fallback(png_bytes, prompt_text) without knowing or caring which provider ends up serving the request — that abstraction is what lets the vision fallback chain (Gemini → Claude → Ollama) actually work transparently.</w:t>
      </w:r>
    </w:p>
    <w:p>
      <w:pPr>
        <w:spacing w:after="80" w:before="220"/>
      </w:pPr>
      <w:r>
        <w:rPr>
          <w:b/>
          <w:bCs/>
          <w:color w:val="8E2E2E"/>
        </w:rPr>
        <w:t xml:space="preserve">Q: </w:t>
      </w:r>
      <w:r>
        <w:rPr>
          <w:b/>
          <w:bCs/>
        </w:rPr>
        <w:t xml:space="preserve">Why PyMuPDF instead of, say, pdf2image or a poppler-based renderer?</w:t>
      </w:r>
    </w:p>
    <w:p>
      <w:pPr>
        <w:spacing w:after="200"/>
        <w:ind w:left="0"/>
      </w:pPr>
      <w:r>
        <w:rPr>
          <w:b/>
          <w:bCs/>
        </w:rPr>
        <w:t xml:space="preserve">A: </w:t>
      </w:r>
      <w:r>
        <w:t xml:space="preserve">PyMuPDF (the fitz binding) renders PDF pages to images in pure Python with no system-level dependency like poppler-utils — that matters a lot for a Docker image and for Render's managed environment, where installing and keeping a system package like poppler in sync with the Python layer is extra surface area to get wrong. get_pixmap() with a zoom matrix gives direct control over output DPI without needing an external binary on PATH.</w:t>
      </w:r>
    </w:p>
    <w:p>
      <w:pPr>
        <w:pStyle w:val="Heading2"/>
        <w:spacing w:after="100" w:before="240"/>
      </w:pPr>
      <w:r>
        <w:t xml:space="preserve">Bullet 5 — Docker Compose, MongoDB GridFS, retry-with-backoff</w:t>
      </w:r>
    </w:p>
    <w:p>
      <w:pPr>
        <w:spacing w:after="80" w:before="220"/>
      </w:pPr>
      <w:r>
        <w:rPr>
          <w:b/>
          <w:bCs/>
          <w:color w:val="8E2E2E"/>
        </w:rPr>
        <w:t xml:space="preserve">Q: </w:t>
      </w:r>
      <w:r>
        <w:rPr>
          <w:b/>
          <w:bCs/>
        </w:rPr>
        <w:t xml:space="preserve">Why move PDF and chart storage off local disk and into MongoDB GridFS?</w:t>
      </w:r>
    </w:p>
    <w:p>
      <w:pPr>
        <w:spacing w:after="80"/>
        <w:ind w:left="0"/>
      </w:pPr>
      <w:r>
        <w:rPr>
          <w:b/>
          <w:bCs/>
        </w:rPr>
        <w:t xml:space="preserve"/>
      </w:r>
      <w:r>
        <w:t xml:space="preserve">Three concrete failure modes the original local-disk version hit or would hit in production: (1) Render's free/starter web services have an ephemeral filesystem — anything written to disk disappears on every restart or redeploy, so uploaded PDFs and generated charts would vanish; (2) if the backend ever runs more than one instance, each instance only sees the files that happened to land on it; (3) during local development, uvicorn's --reload file-watcher treated every new chart PNG written into the backend/ folder as a source-code change and triggered a full reload, which was actually happening every time a chart got generated.</w:t>
      </w:r>
    </w:p>
    <w:p>
      <w:pPr>
        <w:spacing w:after="80"/>
        <w:ind w:left="0"/>
      </w:pPr>
      <w:r>
        <w:rPr>
          <w:b/>
          <w:bCs/>
        </w:rPr>
        <w:t xml:space="preserve"/>
      </w:r>
      <w:r>
        <w:t xml:space="preserve">GridFS specifically (not a normal Mongo document) is used because a plain MongoDB document caps out at 16MB and GridFS transparently chunks larger files — most single earnings-report PDFs and chart PNGs are well under that limit, but GridFS costs nothing extra and removes the ceiling entirely rather than needing a special case for a large file later.</w:t>
      </w:r>
    </w:p>
    <w:p>
      <w:pPr>
        <w:spacing w:after="200"/>
        <w:ind w:left="0"/>
      </w:pPr>
      <w:r>
        <w:rPr>
          <w:b/>
          <w:bCs/>
        </w:rPr>
        <w:t xml:space="preserve"/>
      </w:r>
      <w:r>
        <w:t xml:space="preserve">PDFs are keyed and looked up by filename (matching how Chroma's metadata and the documents collection already key on filename) and replaced on re-upload; charts are keyed by a uuid-suffixed chart_id, so there's no replace-on-write logic needed there.</w:t>
      </w:r>
    </w:p>
    <w:p>
      <w:pPr>
        <w:spacing w:after="80" w:before="220"/>
      </w:pPr>
      <w:r>
        <w:rPr>
          <w:b/>
          <w:bCs/>
          <w:color w:val="8E2E2E"/>
        </w:rPr>
        <w:t xml:space="preserve">Q: </w:t>
      </w:r>
      <w:r>
        <w:rPr>
          <w:b/>
          <w:bCs/>
        </w:rPr>
        <w:t xml:space="preserve">Why did document metadata and feedback move from SQLAlchemy/SQL into MongoDB too?</w:t>
      </w:r>
    </w:p>
    <w:p>
      <w:pPr>
        <w:spacing w:after="200"/>
        <w:ind w:left="0"/>
      </w:pPr>
      <w:r>
        <w:rPr>
          <w:b/>
          <w:bCs/>
        </w:rPr>
        <w:t xml:space="preserve">A: </w:t>
      </w:r>
      <w:r>
        <w:t xml:space="preserve">The original version ran SQLAlchemy (SQLite locally, Postgres in prod) for document metadata and feedback rows alongside MongoDB GridFS for file bytes — two database technologies, two connection configs, two things to misconfigure. The actual trigger for consolidating was a blank DATABASE_URL crashing SQLAlchemy's URL parser at startup. Document metadata (filename, chunk count, upload time) and feedback (question/answer/rating) are naturally row-shaped, but nothing about them requires SQL — a Mongo collection with a unique index on filename gives the same 'one row per document, upsert on re-ingest' guarantee a SQL unique constraint would. Consolidating onto one connection (mongo_client.py, shared by db.py and mongo_storage.py) removed the split entirely.</w:t>
      </w:r>
    </w:p>
    <w:p>
      <w:pPr>
        <w:spacing w:after="80" w:before="220"/>
      </w:pPr>
      <w:r>
        <w:rPr>
          <w:b/>
          <w:bCs/>
          <w:color w:val="8E2E2E"/>
        </w:rPr>
        <w:t xml:space="preserve">Q: </w:t>
      </w:r>
      <w:r>
        <w:rPr>
          <w:b/>
          <w:bCs/>
        </w:rPr>
        <w:t xml:space="preserve">What does the retry-with-backoff on the MongoDB connection actually protect against?</w:t>
      </w:r>
    </w:p>
    <w:p>
      <w:pPr>
        <w:spacing w:after="200"/>
        <w:ind w:left="0"/>
      </w:pPr>
      <w:r>
        <w:rPr>
          <w:b/>
          <w:bCs/>
        </w:rPr>
        <w:t xml:space="preserve">A: </w:t>
      </w:r>
      <w:r>
        <w:t xml:space="preserve">MongoDB Atlas is reached over the public internet, and on flaky networks — the docstring specifically calls out campus/hostel Wi-Fi doing DNS interception or TLS inspection — the very first connection attempt can fail with a transient DNS timeout or SSL handshake error even though the network is fine a few seconds later. Since db.init_db() runs inside FastAPI's @app.on_event("startup") handler, an unhandled exception there takes the whole app down before it ever starts serving requests. mongo_client.get_db() retries the connection up to 4 times with a 3-second delay, and forces an immediate admin.command("ping") round-trip so a bad connection surfaces right there (where it can retry) instead of on whatever query happens to run first later. It only handles transient connection failures on startup — it isn't a general resilience layer for mid-session Mongo outages.</w:t>
      </w:r>
    </w:p>
    <w:p>
      <w:pPr>
        <w:spacing w:after="80" w:before="220"/>
      </w:pPr>
      <w:r>
        <w:rPr>
          <w:b/>
          <w:bCs/>
          <w:color w:val="8E2E2E"/>
        </w:rPr>
        <w:t xml:space="preserve">Q: </w:t>
      </w:r>
      <w:r>
        <w:rPr>
          <w:b/>
          <w:bCs/>
        </w:rPr>
        <w:t xml:space="preserve">What does Docker Compose actually bring up, and how does that differ from the Render deployment?</w:t>
      </w:r>
    </w:p>
    <w:p>
      <w:pPr>
        <w:spacing w:after="200"/>
        <w:ind w:left="0"/>
      </w:pPr>
      <w:r>
        <w:rPr>
          <w:b/>
          <w:bCs/>
        </w:rPr>
        <w:t xml:space="preserve">A: </w:t>
      </w:r>
      <w:r>
        <w:t xml:space="preserve">docker-compose.yml wires up three services: the FastAPI backend (Python slim image), the React frontend (multi-stage Node build served via nginx), and a local MongoDB container — `docker compose up --build` gives a complete, zero-manual-setup dev environment with dev/prod parity. The hosted deployment path is separate: render.yaml deploys the backend to Render and the frontend to Vercel (per its vercel.json), talking to a MongoDB Atlas cluster instead of a local Mongo container. Both paths hit the same code — only the Mongo connection string and static-asset serving differ.</w:t>
      </w:r>
    </w:p>
    <w:p>
      <w:pPr>
        <w:pStyle w:val="Heading1"/>
        <w:spacing w:after="160" w:before="360"/>
      </w:pPr>
      <w:r>
        <w:t xml:space="preserve">5. Curveball / Systems-Design Questions</w:t>
      </w:r>
    </w:p>
    <w:p>
      <w:pPr>
        <w:spacing w:after="80" w:before="220"/>
      </w:pPr>
      <w:r>
        <w:rPr>
          <w:b/>
          <w:bCs/>
          <w:color w:val="8E2E2E"/>
        </w:rPr>
        <w:t xml:space="preserve">Q: </w:t>
      </w:r>
      <w:r>
        <w:rPr>
          <w:b/>
          <w:bCs/>
        </w:rPr>
        <w:t xml:space="preserve">Why ChromaDB and not a managed vector DB like Pinecone or Weaviate?</w:t>
      </w:r>
    </w:p>
    <w:p>
      <w:pPr>
        <w:spacing w:after="200"/>
        <w:ind w:left="0"/>
      </w:pPr>
      <w:r>
        <w:rPr>
          <w:b/>
          <w:bCs/>
        </w:rPr>
        <w:t xml:space="preserve">A: </w:t>
      </w:r>
      <w:r>
        <w:t xml:space="preserve">ChromaDB runs embedded/local with zero external service to stand up, which matched the project's stage — a single-developer project without an ops budget for a managed vector DB subscription. It persists to disk (persist_directory=./chroma_db) so the index survives restarts. The tradeoff, and I'd say this plainly: Chroma's local persistence doesn't share well across multiple backend instances the way MongoDB GridFS now does for files — if this needed to scale horizontally, the vector store is the piece that would need to move to a hosted service (Pinecone, Weaviate Cloud, or pgvector) next, since ChromaDB does also support a client-server mode that would be the more direct migration path.</w:t>
      </w:r>
    </w:p>
    <w:p>
      <w:pPr>
        <w:spacing w:after="80" w:before="220"/>
      </w:pPr>
      <w:r>
        <w:rPr>
          <w:b/>
          <w:bCs/>
          <w:color w:val="8E2E2E"/>
        </w:rPr>
        <w:t xml:space="preserve">Q: </w:t>
      </w:r>
      <w:r>
        <w:rPr>
          <w:b/>
          <w:bCs/>
        </w:rPr>
        <w:t xml:space="preserve">The LangGraph checkpointer is MemorySaver — what happens to a conversation if the server restarts?</w:t>
      </w:r>
    </w:p>
    <w:p>
      <w:pPr>
        <w:spacing w:after="200"/>
        <w:ind w:left="0"/>
      </w:pPr>
      <w:r>
        <w:rPr>
          <w:b/>
          <w:bCs/>
        </w:rPr>
        <w:t xml:space="preserve">A: </w:t>
      </w:r>
      <w:r>
        <w:t xml:space="preserve">It's lost. MemorySaver keeps checkpoints (the full AgentState history per thread_id) purely in the backend process's memory, so a restart, redeploy, or crash wipes every in-flight conversation's memory even though the underlying documents and feedback are safely in MongoDB. That's a real gap I'd flag proactively: the fix is swapping MemorySaver for one of LangGraph's persistent checkpointer backends (there are Postgres and SQLite-backed ones, and in principle a Mongo-backed one), which would let conversation history survive restarts the same way file storage already does.</w:t>
      </w:r>
    </w:p>
    <w:p>
      <w:pPr>
        <w:spacing w:after="80" w:before="220"/>
      </w:pPr>
      <w:r>
        <w:rPr>
          <w:b/>
          <w:bCs/>
          <w:color w:val="8E2E2E"/>
        </w:rPr>
        <w:t xml:space="preserve">Q: </w:t>
      </w:r>
      <w:r>
        <w:rPr>
          <w:b/>
          <w:bCs/>
        </w:rPr>
        <w:t xml:space="preserve">How would you scale this if usage grew 100x?</w:t>
      </w:r>
    </w:p>
    <w:p>
      <w:pPr>
        <w:spacing w:after="80"/>
        <w:ind w:left="0"/>
      </w:pPr>
      <w:r>
        <w:rPr>
          <w:b/>
          <w:bCs/>
        </w:rPr>
        <w:t xml:space="preserve"/>
      </w:r>
      <w:r>
        <w:t xml:space="preserve">Backend: FastAPI/uvicorn can run multiple instances behind a load balancer since nothing writes to local disk anymore (that was the whole point of the MongoDB GridFS migration) — the one blocker left is the in-memory LangGraph checkpointer, which would need to become a persistent, shared backend first, or session affinity would be needed per thread_id.</w:t>
      </w:r>
    </w:p>
    <w:p>
      <w:pPr>
        <w:spacing w:after="80"/>
        <w:ind w:left="0"/>
      </w:pPr>
      <w:r>
        <w:rPr>
          <w:b/>
          <w:bCs/>
        </w:rPr>
        <w:t xml:space="preserve"/>
      </w:r>
      <w:r>
        <w:t xml:space="preserve">Vector store: ChromaDB's local persistence would need to move to a client-server deployment or a managed vector DB so multiple backend instances share one index instead of each having its own.</w:t>
      </w:r>
    </w:p>
    <w:p>
      <w:pPr>
        <w:spacing w:after="80"/>
        <w:ind w:left="0"/>
      </w:pPr>
      <w:r>
        <w:rPr>
          <w:b/>
          <w:bCs/>
        </w:rPr>
        <w:t xml:space="preserve"/>
      </w:r>
      <w:r>
        <w:t xml:space="preserve">LLM cost/latency: the task-based routing already helps here — the grader (cheapest, highest frequency) is isolated from synthesis (most expensive) so scaling traffic doesn't uniformly scale the expensive-model bill; at real scale I'd also add response caching for repeated/similar questions and batch embedding for ingestion.</w:t>
      </w:r>
    </w:p>
    <w:p>
      <w:pPr>
        <w:spacing w:after="200"/>
        <w:ind w:left="0"/>
      </w:pPr>
      <w:r>
        <w:rPr>
          <w:b/>
          <w:bCs/>
        </w:rPr>
        <w:t xml:space="preserve"/>
      </w:r>
      <w:r>
        <w:t xml:space="preserve">Observability: right now this is Python logging to stdout; at scale I'd want structured logs/tracing per LangGraph node (retrieval hit rate, grader yes/no rate, which provider actually served each request) to see fallback-chain behavior in production, not just in local logs.</w:t>
      </w:r>
    </w:p>
    <w:p>
      <w:pPr>
        <w:spacing w:after="80" w:before="220"/>
      </w:pPr>
      <w:r>
        <w:rPr>
          <w:b/>
          <w:bCs/>
          <w:color w:val="8E2E2E"/>
        </w:rPr>
        <w:t xml:space="preserve">Q: </w:t>
      </w:r>
      <w:r>
        <w:rPr>
          <w:b/>
          <w:bCs/>
        </w:rPr>
        <w:t xml:space="preserve">What's the single biggest weakness in this project you'd want to fix next?</w:t>
      </w:r>
    </w:p>
    <w:p>
      <w:pPr>
        <w:spacing w:after="200"/>
        <w:ind w:left="0"/>
      </w:pPr>
      <w:r>
        <w:rPr>
          <w:b/>
          <w:bCs/>
        </w:rPr>
        <w:t xml:space="preserve">A: </w:t>
      </w:r>
      <w:r>
        <w:t xml:space="preserve">Probably the lack of automated tests and CI — there are hand-rolled evaluation/debug scripts (evaluate_retrieval.py, benchmark_latency.py, debug_retrieval.py, db_stats.py) that were genuinely useful for producing the benchmark numbers, but nothing runs automatically on every push, so a regression in the retriever, the fallback logic, or the Mongo CRUD helpers could ship silently. Given how much of this project's engineering is about failure handling (provider fallback, connection retry, graceful degradation), it's a bit inconsistent not to have tests specifically exercising those failure paths — e.g. mocking a provider to always raise and asserting the fallback chain actually reaches the next one.</w:t>
      </w:r>
    </w:p>
    <w:p>
      <w:pPr>
        <w:spacing w:after="80" w:before="220"/>
      </w:pPr>
      <w:r>
        <w:rPr>
          <w:b/>
          <w:bCs/>
          <w:color w:val="8E2E2E"/>
        </w:rPr>
        <w:t xml:space="preserve">Q: </w:t>
      </w:r>
      <w:r>
        <w:rPr>
          <w:b/>
          <w:bCs/>
        </w:rPr>
        <w:t xml:space="preserve">Is this production-ready? What would you flag in a security/readiness review?</w:t>
      </w:r>
    </w:p>
    <w:p>
      <w:pPr>
        <w:spacing w:after="80"/>
        <w:ind w:left="0"/>
      </w:pPr>
      <w:r>
        <w:rPr>
          <w:b/>
          <w:bCs/>
        </w:rPr>
        <w:t xml:space="preserve"/>
      </w:r>
      <w:r>
        <w:t xml:space="preserve">CORS is currently wide open (allow_origins=["*"]) — fine for a personal/demo project, not something I'd ship to real users without locking it to the actual frontend origin(s).</w:t>
      </w:r>
    </w:p>
    <w:p>
      <w:pPr>
        <w:spacing w:after="80"/>
        <w:ind w:left="0"/>
      </w:pPr>
      <w:r>
        <w:rPr>
          <w:b/>
          <w:bCs/>
        </w:rPr>
        <w:t xml:space="preserve"/>
      </w:r>
      <w:r>
        <w:t xml:space="preserve">There's no authentication or per-user isolation at all — thread_id is entirely client-supplied, so anyone who knows or guesses a thread_id can read that conversation, and every uploaded document is globally visible to every user. User accounts and scoped documents/threads are explicitly called out as a 'Future Improvement' in the README for this reason.</w:t>
      </w:r>
    </w:p>
    <w:p>
      <w:pPr>
        <w:spacing w:after="80"/>
        <w:ind w:left="0"/>
      </w:pPr>
      <w:r>
        <w:rPr>
          <w:b/>
          <w:bCs/>
        </w:rPr>
        <w:t xml:space="preserve"/>
      </w:r>
      <w:r>
        <w:t xml:space="preserve">The feedback loop's backend (POST /feedback, the schema, the collection) is built, but the frontend thumbs-up/down UI isn't wired up yet, and there's no GET /feedback/summary aggregation endpoint yet either — so the mechanism to close the loop exists but isn't actually usable end-to-end today.</w:t>
      </w:r>
    </w:p>
    <w:p>
      <w:pPr>
        <w:spacing w:after="200"/>
        <w:ind w:left="0"/>
      </w:pPr>
      <w:r>
        <w:rPr>
          <w:b/>
          <w:bCs/>
        </w:rPr>
        <w:t xml:space="preserve"/>
      </w:r>
      <w:r>
        <w:t xml:space="preserve">MongoDB Atlas credentials, LLM API keys, and Tavily's key all live in a plain .env file — fine for a side project, but a real deployment would want a secrets manager rather than an env file checked into the deploy environment.</w:t>
      </w:r>
    </w:p>
    <w:p>
      <w:pPr>
        <w:spacing w:after="80" w:before="220"/>
      </w:pPr>
      <w:r>
        <w:rPr>
          <w:b/>
          <w:bCs/>
          <w:color w:val="8E2E2E"/>
        </w:rPr>
        <w:t xml:space="preserve">Q: </w:t>
      </w:r>
      <w:r>
        <w:rPr>
          <w:b/>
          <w:bCs/>
        </w:rPr>
        <w:t xml:space="preserve">Why numexpr for the calculator tool instead of Python's eval()?</w:t>
      </w:r>
    </w:p>
    <w:p>
      <w:pPr>
        <w:spacing w:after="200"/>
        <w:ind w:left="0"/>
      </w:pPr>
      <w:r>
        <w:rPr>
          <w:b/>
          <w:bCs/>
        </w:rPr>
        <w:t xml:space="preserve">A: </w:t>
      </w:r>
      <w:r>
        <w:t xml:space="preserve">eval() on an LLM-generated string is a straightforward arbitrary-code-execution risk — the model could in principle be prompted (directly or via a poisoned document) into emitting something that isn't just arithmetic. numexpr.evaluate() only understands a restricted numerical-expression grammar; it can compute percentages and margins, but it can't call arbitrary Python functions or access the filesystem, so it's a much smaller attack surface for a tool whose whole job is 'evaluate a math expression the model wrote.'</w:t>
      </w:r>
    </w:p>
    <w:p>
      <w:pPr>
        <w:spacing w:after="80" w:before="220"/>
      </w:pPr>
      <w:r>
        <w:rPr>
          <w:b/>
          <w:bCs/>
          <w:color w:val="8E2E2E"/>
        </w:rPr>
        <w:t xml:space="preserve">Q: </w:t>
      </w:r>
      <w:r>
        <w:rPr>
          <w:b/>
          <w:bCs/>
        </w:rPr>
        <w:t xml:space="preserve">The DCF tool (calculate_intrinsic_value) uses default assumptions of 10% growth, 10% discount rate, 2.5% terminal growth — how would you justify those and what are the model's limits?</w:t>
      </w:r>
    </w:p>
    <w:p>
      <w:pPr>
        <w:spacing w:after="200"/>
        <w:ind w:left="0"/>
      </w:pPr>
      <w:r>
        <w:rPr>
          <w:b/>
          <w:bCs/>
        </w:rPr>
        <w:t xml:space="preserve">A: </w:t>
      </w:r>
      <w:r>
        <w:t xml:space="preserve">Those are generic, conservative-ish defaults meant to give a reasonable ballpark when the user doesn't specify assumptions — they're not tuned per-company and the tool lets the model override any of the three via arguments if the question implies different assumptions (e.g. a higher-growth company). The model itself is a standard 5-year explicit free-cash-flow projection plus a Gordon-growth terminal value, discounted back at the given rate — it's a genuinely simplistic DCF (no separate cost-of-equity/WACC derivation, no scenario/sensitivity analysis, and it fails outright if yfinance doesn't expose freeCashflow or sharesOutstanding for a ticker). I'd frame it honestly as 'a first-pass sanity-check valuation tool for a chat assistant,' not a substitute for a real equity-research DCF model with sensitivity tables.</w:t>
      </w:r>
    </w:p>
    <w:p>
      <w:pPr>
        <w:pStyle w:val="Heading1"/>
        <w:spacing w:after="160" w:before="360"/>
      </w:pPr>
      <w:r>
        <w:t xml:space="preserve">6. Behavioral Questions Tied to This Project</w:t>
      </w:r>
    </w:p>
    <w:p>
      <w:pPr>
        <w:spacing w:after="80" w:before="220"/>
      </w:pPr>
      <w:r>
        <w:rPr>
          <w:b/>
          <w:bCs/>
          <w:color w:val="8E2E2E"/>
        </w:rPr>
        <w:t xml:space="preserve">Q: </w:t>
      </w:r>
      <w:r>
        <w:rPr>
          <w:b/>
          <w:bCs/>
        </w:rPr>
        <w:t xml:space="preserve">Tell me about a time you had to debug something non-obvious.</w:t>
      </w:r>
    </w:p>
    <w:p>
      <w:pPr>
        <w:spacing w:after="200"/>
        <w:ind w:left="0"/>
      </w:pPr>
      <w:r>
        <w:rPr>
          <w:b/>
          <w:bCs/>
        </w:rPr>
        <w:t xml:space="preserve">A: </w:t>
      </w:r>
      <w:r>
        <w:t xml:space="preserve">The Gemini free-tier rate-limit failure is the concrete example: three vision calls in a short window hit Gemini's 5-requests-per-minute quota, and the symptom wasn't an immediate error — it was the request hanging for nearly a minute while the underlying client retried through Gemini's own backoff before finally failing. Diagnosing that meant reading past the surface error to realize the real problem was architectural (one provider, no fallback), not a one-off bug — which is what motivated building llm_config.py's per-role fallback chains instead of just adding a longer timeout or a try/except around the one failing call.</w:t>
      </w:r>
    </w:p>
    <w:p>
      <w:pPr>
        <w:spacing w:after="80" w:before="220"/>
      </w:pPr>
      <w:r>
        <w:rPr>
          <w:b/>
          <w:bCs/>
          <w:color w:val="8E2E2E"/>
        </w:rPr>
        <w:t xml:space="preserve">Q: </w:t>
      </w:r>
      <w:r>
        <w:rPr>
          <w:b/>
          <w:bCs/>
        </w:rPr>
        <w:t xml:space="preserve">Tell me about a design decision you changed your mind on partway through.</w:t>
      </w:r>
    </w:p>
    <w:p>
      <w:pPr>
        <w:spacing w:after="200"/>
        <w:ind w:left="0"/>
      </w:pPr>
      <w:r>
        <w:rPr>
          <w:b/>
          <w:bCs/>
        </w:rPr>
        <w:t xml:space="preserve">A: </w:t>
      </w:r>
      <w:r>
        <w:t xml:space="preserve">The persistence layer: this started as SQLAlchemy (SQLite/Postgres) for metadata and feedback plus MongoDB GridFS for files — two databases for two kinds of data. A blank DATABASE_URL crashing SQLAlchemy's URL parser was the immediate trigger, but the deeper realization was that document metadata and feedback don't actually need SQL's relational guarantees — a Mongo collection with a unique index on filename gives the same upsert-on-re-ingest behavior a SQL unique constraint would. Consolidating onto one database technology and one connection module (mongo_client.py) removed an entire class of 'which database's env var did I forget to set' bugs.</w:t>
      </w:r>
    </w:p>
    <w:p>
      <w:pPr>
        <w:spacing w:after="80" w:before="220"/>
      </w:pPr>
      <w:r>
        <w:rPr>
          <w:b/>
          <w:bCs/>
          <w:color w:val="8E2E2E"/>
        </w:rPr>
        <w:t xml:space="preserve">Q: </w:t>
      </w:r>
      <w:r>
        <w:rPr>
          <w:b/>
          <w:bCs/>
        </w:rPr>
        <w:t xml:space="preserve">How do you decide what to prioritize on a solo project like this?</w:t>
      </w:r>
    </w:p>
    <w:p>
      <w:pPr>
        <w:spacing w:after="200"/>
        <w:ind w:left="0"/>
      </w:pPr>
      <w:r>
        <w:rPr>
          <w:b/>
          <w:bCs/>
        </w:rPr>
        <w:t xml:space="preserve">A: </w:t>
      </w:r>
      <w:r>
        <w:t xml:space="preserve">By ranking real failure modes over speculative ones. The fallback-chain work, the MongoDB migration, and the retry-with-backoff logic all trace back to something that actually broke during development or would predictably break on Render's free tier (ephemeral disk, rate limits, flaky network) — not hypothetical 'what if this scales to a million users' concerns. Meanwhile things like authentication or a full test suite are explicitly deferred as 'Future Improvements' because they matter for a real multi-user product but weren't the thing standing between the project and working correctly right now.</w:t>
      </w:r>
    </w:p>
    <w:p>
      <w:pPr>
        <w:pStyle w:val="Heading1"/>
        <w:spacing w:after="160" w:before="360"/>
      </w:pPr>
      <w:r>
        <w:t xml:space="preserve">7. Cheat Sheet — Numbers &amp; Names to Have Ready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1F2A44" w:val="clear"/>
            <w:tcMar>
              <w:top w:type="dxa" w:w="80"/>
              <w:left w:type="dxa" w:w="100"/>
              <w:bottom w:type="dxa" w:w="80"/>
              <w:right w:type="dxa" w:w="100"/>
            </w:tcMar>
          </w:tcPr>
          <w:p>
            <w:r>
              <w:rPr>
                <w:b/>
                <w:bCs/>
                <w:color w:val="FFFFFF"/>
                <w:sz w:val="20"/>
                <w:szCs w:val="20"/>
              </w:rPr>
              <w:t xml:space="preserve">Metric / Name</w:t>
            </w:r>
          </w:p>
        </w:tc>
        <w:tc>
          <w:tcPr>
            <w:tcW w:type="dxa" w:w="5800"/>
            <w:shd w:fill="1F2A44" w:val="clear"/>
            <w:tcMar>
              <w:top w:type="dxa" w:w="80"/>
              <w:left w:type="dxa" w:w="100"/>
              <w:bottom w:type="dxa" w:w="80"/>
              <w:right w:type="dxa" w:w="100"/>
            </w:tcMar>
          </w:tcPr>
          <w:p>
            <w:r>
              <w:rPr>
                <w:b/>
                <w:bCs/>
                <w:color w:val="FFFFFF"/>
                <w:sz w:val="20"/>
                <w:szCs w:val="20"/>
              </w:rPr>
              <w:t xml:space="preserve">Value</w:t>
            </w:r>
          </w:p>
        </w:tc>
      </w:tr>
      <w:tr>
        <w:tc>
          <w:tcPr>
            <w:tcW w:type="dxa" w:w="4200"/>
            <w:tcMar>
              <w:top w:type="dxa" w:w="80"/>
              <w:left w:type="dxa" w:w="100"/>
              <w:bottom w:type="dxa" w:w="80"/>
              <w:right w:type="dxa" w:w="100"/>
            </w:tcMar>
          </w:tcPr>
          <w:p>
            <w:r>
              <w:rPr>
                <w:b w:val="false"/>
                <w:bCs w:val="false"/>
                <w:color w:val="000000"/>
                <w:sz w:val="20"/>
                <w:szCs w:val="20"/>
              </w:rPr>
              <w:t xml:space="preserve">Retrieval Top-1 / Top-3 accuracy</w:t>
            </w:r>
          </w:p>
        </w:tc>
        <w:tc>
          <w:tcPr>
            <w:tcW w:type="dxa" w:w="5800"/>
            <w:tcMar>
              <w:top w:type="dxa" w:w="80"/>
              <w:left w:type="dxa" w:w="100"/>
              <w:bottom w:type="dxa" w:w="80"/>
              <w:right w:type="dxa" w:w="100"/>
            </w:tcMar>
          </w:tcPr>
          <w:p>
            <w:r>
              <w:rPr>
                <w:b w:val="false"/>
                <w:bCs w:val="false"/>
                <w:color w:val="000000"/>
                <w:sz w:val="20"/>
                <w:szCs w:val="20"/>
              </w:rPr>
              <w:t xml:space="preserve">100% / 100% (15-question curated benchmark)</w:t>
            </w:r>
          </w:p>
        </w:tc>
      </w:tr>
      <w:tr>
        <w:tc>
          <w:tcPr>
            <w:tcW w:type="dxa" w:w="4200"/>
            <w:tcMar>
              <w:top w:type="dxa" w:w="80"/>
              <w:left w:type="dxa" w:w="100"/>
              <w:bottom w:type="dxa" w:w="80"/>
              <w:right w:type="dxa" w:w="100"/>
            </w:tcMar>
          </w:tcPr>
          <w:p>
            <w:r>
              <w:rPr>
                <w:b w:val="false"/>
                <w:bCs w:val="false"/>
                <w:color w:val="000000"/>
                <w:sz w:val="20"/>
                <w:szCs w:val="20"/>
              </w:rPr>
              <w:t xml:space="preserve">Benchmark corpus</w:t>
            </w:r>
          </w:p>
        </w:tc>
        <w:tc>
          <w:tcPr>
            <w:tcW w:type="dxa" w:w="5800"/>
            <w:tcMar>
              <w:top w:type="dxa" w:w="80"/>
              <w:left w:type="dxa" w:w="100"/>
              <w:bottom w:type="dxa" w:w="80"/>
              <w:right w:type="dxa" w:w="100"/>
            </w:tcMar>
          </w:tcPr>
          <w:p>
            <w:r>
              <w:rPr>
                <w:b w:val="false"/>
                <w:bCs w:val="false"/>
                <w:color w:val="000000"/>
                <w:sz w:val="20"/>
                <w:szCs w:val="20"/>
              </w:rPr>
              <w:t xml:space="preserve">10 documents, ~50 semantic chunks</w:t>
            </w:r>
          </w:p>
        </w:tc>
      </w:tr>
      <w:tr>
        <w:tc>
          <w:tcPr>
            <w:tcW w:type="dxa" w:w="4200"/>
            <w:tcMar>
              <w:top w:type="dxa" w:w="80"/>
              <w:left w:type="dxa" w:w="100"/>
              <w:bottom w:type="dxa" w:w="80"/>
              <w:right w:type="dxa" w:w="100"/>
            </w:tcMar>
          </w:tcPr>
          <w:p>
            <w:r>
              <w:rPr>
                <w:b w:val="false"/>
                <w:bCs w:val="false"/>
                <w:color w:val="000000"/>
                <w:sz w:val="20"/>
                <w:szCs w:val="20"/>
              </w:rPr>
              <w:t xml:space="preserve">RAG pathway latency</w:t>
            </w:r>
          </w:p>
        </w:tc>
        <w:tc>
          <w:tcPr>
            <w:tcW w:type="dxa" w:w="5800"/>
            <w:tcMar>
              <w:top w:type="dxa" w:w="80"/>
              <w:left w:type="dxa" w:w="100"/>
              <w:bottom w:type="dxa" w:w="80"/>
              <w:right w:type="dxa" w:w="100"/>
            </w:tcMar>
          </w:tcPr>
          <w:p>
            <w:r>
              <w:rPr>
                <w:b w:val="false"/>
                <w:bCs w:val="false"/>
                <w:color w:val="000000"/>
                <w:sz w:val="20"/>
                <w:szCs w:val="20"/>
              </w:rPr>
              <w:t xml:space="preserve">P95 16.3s, avg 6.6s (on original Groq/local-disk arch)</w:t>
            </w:r>
          </w:p>
        </w:tc>
      </w:tr>
      <w:tr>
        <w:tc>
          <w:tcPr>
            <w:tcW w:type="dxa" w:w="4200"/>
            <w:tcMar>
              <w:top w:type="dxa" w:w="80"/>
              <w:left w:type="dxa" w:w="100"/>
              <w:bottom w:type="dxa" w:w="80"/>
              <w:right w:type="dxa" w:w="100"/>
            </w:tcMar>
          </w:tcPr>
          <w:p>
            <w:r>
              <w:rPr>
                <w:b w:val="false"/>
                <w:bCs w:val="false"/>
                <w:color w:val="000000"/>
                <w:sz w:val="20"/>
                <w:szCs w:val="20"/>
              </w:rPr>
              <w:t xml:space="preserve">Market-data (yfinance) pathway latency</w:t>
            </w:r>
          </w:p>
        </w:tc>
        <w:tc>
          <w:tcPr>
            <w:tcW w:type="dxa" w:w="5800"/>
            <w:tcMar>
              <w:top w:type="dxa" w:w="80"/>
              <w:left w:type="dxa" w:w="100"/>
              <w:bottom w:type="dxa" w:w="80"/>
              <w:right w:type="dxa" w:w="100"/>
            </w:tcMar>
          </w:tcPr>
          <w:p>
            <w:r>
              <w:rPr>
                <w:b w:val="false"/>
                <w:bCs w:val="false"/>
                <w:color w:val="000000"/>
                <w:sz w:val="20"/>
                <w:szCs w:val="20"/>
              </w:rPr>
              <w:t xml:space="preserve">P95 58.7s (slowest — multi-step fetch + plot)</w:t>
            </w:r>
          </w:p>
        </w:tc>
      </w:tr>
      <w:tr>
        <w:tc>
          <w:tcPr>
            <w:tcW w:type="dxa" w:w="4200"/>
            <w:tcMar>
              <w:top w:type="dxa" w:w="80"/>
              <w:left w:type="dxa" w:w="100"/>
              <w:bottom w:type="dxa" w:w="80"/>
              <w:right w:type="dxa" w:w="100"/>
            </w:tcMar>
          </w:tcPr>
          <w:p>
            <w:r>
              <w:rPr>
                <w:b w:val="false"/>
                <w:bCs w:val="false"/>
                <w:color w:val="000000"/>
                <w:sz w:val="20"/>
                <w:szCs w:val="20"/>
              </w:rPr>
              <w:t xml:space="preserve">Web search (Tavily) pathway latency</w:t>
            </w:r>
          </w:p>
        </w:tc>
        <w:tc>
          <w:tcPr>
            <w:tcW w:type="dxa" w:w="5800"/>
            <w:tcMar>
              <w:top w:type="dxa" w:w="80"/>
              <w:left w:type="dxa" w:w="100"/>
              <w:bottom w:type="dxa" w:w="80"/>
              <w:right w:type="dxa" w:w="100"/>
            </w:tcMar>
          </w:tcPr>
          <w:p>
            <w:r>
              <w:rPr>
                <w:b w:val="false"/>
                <w:bCs w:val="false"/>
                <w:color w:val="000000"/>
                <w:sz w:val="20"/>
                <w:szCs w:val="20"/>
              </w:rPr>
              <w:t xml:space="preserve">P95 5.4s</w:t>
            </w:r>
          </w:p>
        </w:tc>
      </w:tr>
      <w:tr>
        <w:tc>
          <w:tcPr>
            <w:tcW w:type="dxa" w:w="4200"/>
            <w:tcMar>
              <w:top w:type="dxa" w:w="80"/>
              <w:left w:type="dxa" w:w="100"/>
              <w:bottom w:type="dxa" w:w="80"/>
              <w:right w:type="dxa" w:w="100"/>
            </w:tcMar>
          </w:tcPr>
          <w:p>
            <w:r>
              <w:rPr>
                <w:b w:val="false"/>
                <w:bCs w:val="false"/>
                <w:color w:val="000000"/>
                <w:sz w:val="20"/>
                <w:szCs w:val="20"/>
              </w:rPr>
              <w:t xml:space="preserve">Embedding model</w:t>
            </w:r>
          </w:p>
        </w:tc>
        <w:tc>
          <w:tcPr>
            <w:tcW w:type="dxa" w:w="5800"/>
            <w:tcMar>
              <w:top w:type="dxa" w:w="80"/>
              <w:left w:type="dxa" w:w="100"/>
              <w:bottom w:type="dxa" w:w="80"/>
              <w:right w:type="dxa" w:w="100"/>
            </w:tcMar>
          </w:tcPr>
          <w:p>
            <w:r>
              <w:rPr>
                <w:b w:val="false"/>
                <w:bCs w:val="false"/>
                <w:color w:val="000000"/>
                <w:sz w:val="20"/>
                <w:szCs w:val="20"/>
              </w:rPr>
              <w:t xml:space="preserve">BAAI/bge-small-en-v1.5 (512-token limit, normalized/cosine)</w:t>
            </w:r>
          </w:p>
        </w:tc>
      </w:tr>
      <w:tr>
        <w:tc>
          <w:tcPr>
            <w:tcW w:type="dxa" w:w="4200"/>
            <w:tcMar>
              <w:top w:type="dxa" w:w="80"/>
              <w:left w:type="dxa" w:w="100"/>
              <w:bottom w:type="dxa" w:w="80"/>
              <w:right w:type="dxa" w:w="100"/>
            </w:tcMar>
          </w:tcPr>
          <w:p>
            <w:r>
              <w:rPr>
                <w:b w:val="false"/>
                <w:bCs w:val="false"/>
                <w:color w:val="000000"/>
                <w:sz w:val="20"/>
                <w:szCs w:val="20"/>
              </w:rPr>
              <w:t xml:space="preserve">Reranker model</w:t>
            </w:r>
          </w:p>
        </w:tc>
        <w:tc>
          <w:tcPr>
            <w:tcW w:type="dxa" w:w="5800"/>
            <w:tcMar>
              <w:top w:type="dxa" w:w="80"/>
              <w:left w:type="dxa" w:w="100"/>
              <w:bottom w:type="dxa" w:w="80"/>
              <w:right w:type="dxa" w:w="100"/>
            </w:tcMar>
          </w:tcPr>
          <w:p>
            <w:r>
              <w:rPr>
                <w:b w:val="false"/>
                <w:bCs w:val="false"/>
                <w:color w:val="000000"/>
                <w:sz w:val="20"/>
                <w:szCs w:val="20"/>
              </w:rPr>
              <w:t xml:space="preserve">cross-encoder/ms-marco-MiniLM-L-6-v2</w:t>
            </w:r>
          </w:p>
        </w:tc>
      </w:tr>
      <w:tr>
        <w:tc>
          <w:tcPr>
            <w:tcW w:type="dxa" w:w="4200"/>
            <w:tcMar>
              <w:top w:type="dxa" w:w="80"/>
              <w:left w:type="dxa" w:w="100"/>
              <w:bottom w:type="dxa" w:w="80"/>
              <w:right w:type="dxa" w:w="100"/>
            </w:tcMar>
          </w:tcPr>
          <w:p>
            <w:r>
              <w:rPr>
                <w:b w:val="false"/>
                <w:bCs w:val="false"/>
                <w:color w:val="000000"/>
                <w:sz w:val="20"/>
                <w:szCs w:val="20"/>
              </w:rPr>
              <w:t xml:space="preserve">Stage-1 retrieval size / final size</w:t>
            </w:r>
          </w:p>
        </w:tc>
        <w:tc>
          <w:tcPr>
            <w:tcW w:type="dxa" w:w="5800"/>
            <w:tcMar>
              <w:top w:type="dxa" w:w="80"/>
              <w:left w:type="dxa" w:w="100"/>
              <w:bottom w:type="dxa" w:w="80"/>
              <w:right w:type="dxa" w:w="100"/>
            </w:tcMar>
          </w:tcPr>
          <w:p>
            <w:r>
              <w:rPr>
                <w:b w:val="false"/>
                <w:bCs w:val="false"/>
                <w:color w:val="000000"/>
                <w:sz w:val="20"/>
                <w:szCs w:val="20"/>
              </w:rPr>
              <w:t xml:space="preserve">k_initial=10 → k_final=3</w:t>
            </w:r>
          </w:p>
        </w:tc>
      </w:tr>
      <w:tr>
        <w:tc>
          <w:tcPr>
            <w:tcW w:type="dxa" w:w="4200"/>
            <w:tcMar>
              <w:top w:type="dxa" w:w="80"/>
              <w:left w:type="dxa" w:w="100"/>
              <w:bottom w:type="dxa" w:w="80"/>
              <w:right w:type="dxa" w:w="100"/>
            </w:tcMar>
          </w:tcPr>
          <w:p>
            <w:r>
              <w:rPr>
                <w:b w:val="false"/>
                <w:bCs w:val="false"/>
                <w:color w:val="000000"/>
                <w:sz w:val="20"/>
                <w:szCs w:val="20"/>
              </w:rPr>
              <w:t xml:space="preserve">Chunking</w:t>
            </w:r>
          </w:p>
        </w:tc>
        <w:tc>
          <w:tcPr>
            <w:tcW w:type="dxa" w:w="5800"/>
            <w:tcMar>
              <w:top w:type="dxa" w:w="80"/>
              <w:left w:type="dxa" w:w="100"/>
              <w:bottom w:type="dxa" w:w="80"/>
              <w:right w:type="dxa" w:w="100"/>
            </w:tcMar>
          </w:tcPr>
          <w:p>
            <w:r>
              <w:rPr>
                <w:b w:val="false"/>
                <w:bCs w:val="false"/>
                <w:color w:val="000000"/>
                <w:sz w:val="20"/>
                <w:szCs w:val="20"/>
              </w:rPr>
              <w:t xml:space="preserve">Markdown headers (parent) → 1200 chars / 120 overlap (child)</w:t>
            </w:r>
          </w:p>
        </w:tc>
      </w:tr>
      <w:tr>
        <w:tc>
          <w:tcPr>
            <w:tcW w:type="dxa" w:w="4200"/>
            <w:tcMar>
              <w:top w:type="dxa" w:w="80"/>
              <w:left w:type="dxa" w:w="100"/>
              <w:bottom w:type="dxa" w:w="80"/>
              <w:right w:type="dxa" w:w="100"/>
            </w:tcMar>
          </w:tcPr>
          <w:p>
            <w:r>
              <w:rPr>
                <w:b w:val="false"/>
                <w:bCs w:val="false"/>
                <w:color w:val="000000"/>
                <w:sz w:val="20"/>
                <w:szCs w:val="20"/>
              </w:rPr>
              <w:t xml:space="preserve">Default grader chain</w:t>
            </w:r>
          </w:p>
        </w:tc>
        <w:tc>
          <w:tcPr>
            <w:tcW w:type="dxa" w:w="5800"/>
            <w:tcMar>
              <w:top w:type="dxa" w:w="80"/>
              <w:left w:type="dxa" w:w="100"/>
              <w:bottom w:type="dxa" w:w="80"/>
              <w:right w:type="dxa" w:w="100"/>
            </w:tcMar>
          </w:tcPr>
          <w:p>
            <w:r>
              <w:rPr>
                <w:b w:val="false"/>
                <w:bCs w:val="false"/>
                <w:color w:val="000000"/>
                <w:sz w:val="20"/>
                <w:szCs w:val="20"/>
              </w:rPr>
              <w:t xml:space="preserve">Groq → Gemini</w:t>
            </w:r>
          </w:p>
        </w:tc>
      </w:tr>
      <w:tr>
        <w:tc>
          <w:tcPr>
            <w:tcW w:type="dxa" w:w="4200"/>
            <w:tcMar>
              <w:top w:type="dxa" w:w="80"/>
              <w:left w:type="dxa" w:w="100"/>
              <w:bottom w:type="dxa" w:w="80"/>
              <w:right w:type="dxa" w:w="100"/>
            </w:tcMar>
          </w:tcPr>
          <w:p>
            <w:r>
              <w:rPr>
                <w:b w:val="false"/>
                <w:bCs w:val="false"/>
                <w:color w:val="000000"/>
                <w:sz w:val="20"/>
                <w:szCs w:val="20"/>
              </w:rPr>
              <w:t xml:space="preserve">Default synthesis chain</w:t>
            </w:r>
          </w:p>
        </w:tc>
        <w:tc>
          <w:tcPr>
            <w:tcW w:type="dxa" w:w="5800"/>
            <w:tcMar>
              <w:top w:type="dxa" w:w="80"/>
              <w:left w:type="dxa" w:w="100"/>
              <w:bottom w:type="dxa" w:w="80"/>
              <w:right w:type="dxa" w:w="100"/>
            </w:tcMar>
          </w:tcPr>
          <w:p>
            <w:r>
              <w:rPr>
                <w:b w:val="false"/>
                <w:bCs w:val="false"/>
                <w:color w:val="000000"/>
                <w:sz w:val="20"/>
                <w:szCs w:val="20"/>
              </w:rPr>
              <w:t xml:space="preserve">Gemini → Claude</w:t>
            </w:r>
          </w:p>
        </w:tc>
      </w:tr>
      <w:tr>
        <w:tc>
          <w:tcPr>
            <w:tcW w:type="dxa" w:w="4200"/>
            <w:tcMar>
              <w:top w:type="dxa" w:w="80"/>
              <w:left w:type="dxa" w:w="100"/>
              <w:bottom w:type="dxa" w:w="80"/>
              <w:right w:type="dxa" w:w="100"/>
            </w:tcMar>
          </w:tcPr>
          <w:p>
            <w:r>
              <w:rPr>
                <w:b w:val="false"/>
                <w:bCs w:val="false"/>
                <w:color w:val="000000"/>
                <w:sz w:val="20"/>
                <w:szCs w:val="20"/>
              </w:rPr>
              <w:t xml:space="preserve">Default vision chain</w:t>
            </w:r>
          </w:p>
        </w:tc>
        <w:tc>
          <w:tcPr>
            <w:tcW w:type="dxa" w:w="5800"/>
            <w:tcMar>
              <w:top w:type="dxa" w:w="80"/>
              <w:left w:type="dxa" w:w="100"/>
              <w:bottom w:type="dxa" w:w="80"/>
              <w:right w:type="dxa" w:w="100"/>
            </w:tcMar>
          </w:tcPr>
          <w:p>
            <w:r>
              <w:rPr>
                <w:b w:val="false"/>
                <w:bCs w:val="false"/>
                <w:color w:val="000000"/>
                <w:sz w:val="20"/>
                <w:szCs w:val="20"/>
              </w:rPr>
              <w:t xml:space="preserve">Gemini → Claude → Ollama/Llava (local)</w:t>
            </w:r>
          </w:p>
        </w:tc>
      </w:tr>
      <w:tr>
        <w:tc>
          <w:tcPr>
            <w:tcW w:type="dxa" w:w="4200"/>
            <w:tcMar>
              <w:top w:type="dxa" w:w="80"/>
              <w:left w:type="dxa" w:w="100"/>
              <w:bottom w:type="dxa" w:w="80"/>
              <w:right w:type="dxa" w:w="100"/>
            </w:tcMar>
          </w:tcPr>
          <w:p>
            <w:r>
              <w:rPr>
                <w:b w:val="false"/>
                <w:bCs w:val="false"/>
                <w:color w:val="000000"/>
                <w:sz w:val="20"/>
                <w:szCs w:val="20"/>
              </w:rPr>
              <w:t xml:space="preserve">Vision page render</w:t>
            </w:r>
          </w:p>
        </w:tc>
        <w:tc>
          <w:tcPr>
            <w:tcW w:type="dxa" w:w="5800"/>
            <w:tcMar>
              <w:top w:type="dxa" w:w="80"/>
              <w:left w:type="dxa" w:w="100"/>
              <w:bottom w:type="dxa" w:w="80"/>
              <w:right w:type="dxa" w:w="100"/>
            </w:tcMar>
          </w:tcPr>
          <w:p>
            <w:r>
              <w:rPr>
                <w:b w:val="false"/>
                <w:bCs w:val="false"/>
                <w:color w:val="000000"/>
                <w:sz w:val="20"/>
                <w:szCs w:val="20"/>
              </w:rPr>
              <w:t xml:space="preserve">PyMuPDF, 150 DPI</w:t>
            </w:r>
          </w:p>
        </w:tc>
      </w:tr>
      <w:tr>
        <w:tc>
          <w:tcPr>
            <w:tcW w:type="dxa" w:w="4200"/>
            <w:tcMar>
              <w:top w:type="dxa" w:w="80"/>
              <w:left w:type="dxa" w:w="100"/>
              <w:bottom w:type="dxa" w:w="80"/>
              <w:right w:type="dxa" w:w="100"/>
            </w:tcMar>
          </w:tcPr>
          <w:p>
            <w:r>
              <w:rPr>
                <w:b w:val="false"/>
                <w:bCs w:val="false"/>
                <w:color w:val="000000"/>
                <w:sz w:val="20"/>
                <w:szCs w:val="20"/>
              </w:rPr>
              <w:t xml:space="preserve">File storage</w:t>
            </w:r>
          </w:p>
        </w:tc>
        <w:tc>
          <w:tcPr>
            <w:tcW w:type="dxa" w:w="5800"/>
            <w:tcMar>
              <w:top w:type="dxa" w:w="80"/>
              <w:left w:type="dxa" w:w="100"/>
              <w:bottom w:type="dxa" w:w="80"/>
              <w:right w:type="dxa" w:w="100"/>
            </w:tcMar>
          </w:tcPr>
          <w:p>
            <w:r>
              <w:rPr>
                <w:b w:val="false"/>
                <w:bCs w:val="false"/>
                <w:color w:val="000000"/>
                <w:sz w:val="20"/>
                <w:szCs w:val="20"/>
              </w:rPr>
              <w:t xml:space="preserve">MongoDB GridFS (PDFs by filename, charts by uuid chart_id)</w:t>
            </w:r>
          </w:p>
        </w:tc>
      </w:tr>
      <w:tr>
        <w:tc>
          <w:tcPr>
            <w:tcW w:type="dxa" w:w="4200"/>
            <w:tcMar>
              <w:top w:type="dxa" w:w="80"/>
              <w:left w:type="dxa" w:w="100"/>
              <w:bottom w:type="dxa" w:w="80"/>
              <w:right w:type="dxa" w:w="100"/>
            </w:tcMar>
          </w:tcPr>
          <w:p>
            <w:r>
              <w:rPr>
                <w:b w:val="false"/>
                <w:bCs w:val="false"/>
                <w:color w:val="000000"/>
                <w:sz w:val="20"/>
                <w:szCs w:val="20"/>
              </w:rPr>
              <w:t xml:space="preserve">Mongo connect retries</w:t>
            </w:r>
          </w:p>
        </w:tc>
        <w:tc>
          <w:tcPr>
            <w:tcW w:type="dxa" w:w="5800"/>
            <w:tcMar>
              <w:top w:type="dxa" w:w="80"/>
              <w:left w:type="dxa" w:w="100"/>
              <w:bottom w:type="dxa" w:w="80"/>
              <w:right w:type="dxa" w:w="100"/>
            </w:tcMar>
          </w:tcPr>
          <w:p>
            <w:r>
              <w:rPr>
                <w:b w:val="false"/>
                <w:bCs w:val="false"/>
                <w:color w:val="000000"/>
                <w:sz w:val="20"/>
                <w:szCs w:val="20"/>
              </w:rPr>
              <w:t xml:space="preserve">4 attempts, 3s delay</w:t>
            </w:r>
          </w:p>
        </w:tc>
      </w:tr>
      <w:tr>
        <w:tc>
          <w:tcPr>
            <w:tcW w:type="dxa" w:w="4200"/>
            <w:tcMar>
              <w:top w:type="dxa" w:w="80"/>
              <w:left w:type="dxa" w:w="100"/>
              <w:bottom w:type="dxa" w:w="80"/>
              <w:right w:type="dxa" w:w="100"/>
            </w:tcMar>
          </w:tcPr>
          <w:p>
            <w:r>
              <w:rPr>
                <w:b w:val="false"/>
                <w:bCs w:val="false"/>
                <w:color w:val="000000"/>
                <w:sz w:val="20"/>
                <w:szCs w:val="20"/>
              </w:rPr>
              <w:t xml:space="preserve">Checkpointer</w:t>
            </w:r>
          </w:p>
        </w:tc>
        <w:tc>
          <w:tcPr>
            <w:tcW w:type="dxa" w:w="5800"/>
            <w:tcMar>
              <w:top w:type="dxa" w:w="80"/>
              <w:left w:type="dxa" w:w="100"/>
              <w:bottom w:type="dxa" w:w="80"/>
              <w:right w:type="dxa" w:w="100"/>
            </w:tcMar>
          </w:tcPr>
          <w:p>
            <w:r>
              <w:rPr>
                <w:b w:val="false"/>
                <w:bCs w:val="false"/>
                <w:color w:val="000000"/>
                <w:sz w:val="20"/>
                <w:szCs w:val="20"/>
              </w:rPr>
              <w:t xml:space="preserve">LangGraph MemorySaver (in-memory, not persistent)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2A44"/>
      <w:sz w:val="30"/>
      <w:szCs w:val="30"/>
    </w:rPr>
  </w:style>
  <w:style w:type="paragraph" w:styleId="Heading2">
    <w:name w:val="Heading 2"/>
    <w:basedOn w:val="Normal"/>
    <w:next w:val="Normal"/>
    <w:qFormat/>
    <w:pPr>
      <w:spacing w:after="100" w:before="200"/>
    </w:pPr>
    <w:rPr>
      <w:b/>
      <w:bCs/>
      <w:color w:val="8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2026-07-23T09:17:24.813Z</dcterms:created>
  <dcterms:modified xsi:type="dcterms:W3CDTF">2026-07-23T09:17:24.813Z</dcterms:modified>
</cp:coreProperties>
</file>

<file path=docProps/custom.xml><?xml version="1.0" encoding="utf-8"?>
<Properties xmlns="http://schemas.openxmlformats.org/officeDocument/2006/custom-properties" xmlns:vt="http://schemas.openxmlformats.org/officeDocument/2006/docPropsVTypes"/>
</file>