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STATEMENT OF WORK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MediBook — Patient Portal &amp; Clinic Management System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200" w:before="2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</w:t>
      </w:r>
      <w:r>
        <w:rPr>
          <w:rFonts w:ascii="Arial" w:cs="Arial" w:eastAsia="Arial" w:hAnsi="Arial"/>
          <w:sz w:val="22"/>
          <w:szCs w:val="22"/>
        </w:rPr>
        <w:t xml:space="preserve">Apex Health Group Pvt. Ltd., Hyderabad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Stackular Technologies Pvt. Ltd., Hyderabad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version: </w:t>
      </w:r>
      <w:r>
        <w:rPr>
          <w:rFonts w:ascii="Arial" w:cs="Arial" w:eastAsia="Arial" w:hAnsi="Arial"/>
          <w:sz w:val="22"/>
          <w:szCs w:val="22"/>
        </w:rPr>
        <w:t xml:space="preserve">1.2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 date: </w:t>
      </w:r>
      <w:r>
        <w:rPr>
          <w:rFonts w:ascii="Arial" w:cs="Arial" w:eastAsia="Arial" w:hAnsi="Arial"/>
          <w:sz w:val="22"/>
          <w:szCs w:val="22"/>
        </w:rPr>
        <w:t xml:space="preserve">15 January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 ref: </w:t>
      </w:r>
      <w:r>
        <w:rPr>
          <w:rFonts w:ascii="Arial" w:cs="Arial" w:eastAsia="Arial" w:hAnsi="Arial"/>
          <w:sz w:val="22"/>
          <w:szCs w:val="22"/>
        </w:rPr>
        <w:t xml:space="preserve">STK-2026-AHG-001</w:t>
      </w:r>
    </w:p>
    <w:p>
      <w:pPr>
        <w:pBdr>
          <w:bottom w:val="single" w:color="2E75B6" w:sz="8" w:space="4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Apex Health Group Pvt. Ltd. (“Client”) operates a chain of five private multi-specialty clinics across Hyderabad. The Client seeks to develop a unified digital platform — referred to herein as MediBook — to streamline patient appointment scheduling, clinical record access, and administrative operations across all clinic locations.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Stackular Technologies Pvt. Ltd. (“Vendor”) shall design, develop, test, and deploy this platform in accordance with the requirements specified in this SOW and the accompanying Business Requirements Document (ref: AHG-BRD-2026-01).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patient no-shows by enabling online booking and automated WhatsApp and SMS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doctors a unified, remotely-accessible view of patient histories across all clinic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Eliminate manual billing errors by digitising invoice generation and online payment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clinic administrators with real-time operational dashboards across all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platform capable of accommodating additional clinic branches in the future</w:t>
      </w:r>
    </w:p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Scope of Work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In-scope deliverables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web-based patient portal accessible via desktop and mobile browsers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mobile application for Android and iOS platforms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Doctor-facing web dashboard for schedule management and patient record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for clinic configuration, staff management, billing, and reporting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API services, database, and cloud infrastructure setup and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the Client's existing billing system (Tally ERP) and EMR system (Medi-Plus v3.2)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appointment notifications via SMS and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acceptance testing (UAT) support and production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 days of post-launch hypercare support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or telemedicine consultation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Development of a new EMR system (integration with Medi-Plus v3.2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 procurement (tablets, kiosks, reception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Ongoing maintenance beyond the 30-day hypercare period (separate MSA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 referral tracking module (noted as future requirement; not in scope for this engagement)</w:t>
      </w:r>
    </w:p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Deliverables and Timeline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is structured in four phases over sixteen weeks. Estimated production go-live: 9 May 2026. The timeline assumes the Client provides API access to the EMR and billing systems no later than 10 February 2026.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confirmation, approved UI/UX wireframes, architecture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portal, appointment booking, doctor dashboard (MVP)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panel, billing integration, EMR integration,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Apr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performance testing, bug fixes, production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May 2026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Delays in provision of API access or UAT sign-offs by the Client may impact the delivery schedule. Revised timelines will be agreed in writing.</w:t>
      </w:r>
    </w:p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Commercial Terms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Project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fixed-price engagement value: INR 48,00,000 (Forty-Eight Lakhs Rupees), exclusive of applicable GST at 18%. Any changes to agreed scope will be governed by a formal Change Request (CR) process with separate cost and timeline implications.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Milestone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Amount (INR excl. GST)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14,40,000 (30%)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sign-off (MVP delivery)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14,40,000 (30%)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sign-off (production go-live)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19,20,000 (40%)</w:t>
            </w:r>
          </w:p>
        </w:tc>
      </w:tr>
    </w:tbl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Assumptions and Client Obligations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Client will designate a primary project owner with authority to approve deliverables within 3 business days of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Client will provide API or database credentials for Medi-Plus v3.2 and Tally ERP by 10 February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Client is responsible for all regulatory and legal compliance obligations relating to patient health data under applicable Indian laws.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Client will provide a full list and format of patient records to be migrated by 28 February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UAT feedback will be submitted within 5 business days of each milestone delivery.</w:t>
      </w:r>
    </w:p>
    <w:p>
      <w:pPr>
        <w:spacing w:after="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milestone shall be considered accepted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functional requirements in the approved BRD for that phase are implemented and demonstrated.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Critical or High severity defects remain open at the time of sign-off.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Client's designated approver has signed the Phase Completion Certificate within the UAT window.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Statement of Work is subject to the Master Services Agreement between the parties. In case of conflict, MSA terms shall prevail.</w:t>
      </w:r>
    </w:p>
    <w:p>
      <w:pPr>
        <w:spacing w:after="0" w:before="12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Authorised signatory — Client: </w:t>
      </w:r>
      <w:r>
        <w:rPr>
          <w:rFonts w:ascii="Arial" w:cs="Arial" w:eastAsia="Arial" w:hAnsi="Arial"/>
          <w:sz w:val="22"/>
          <w:szCs w:val="22"/>
        </w:rPr>
        <w:t xml:space="preserve">Dr. Priya Nair, CEO, Apex Health Group Pvt. Ltd.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Authorised signatory — Vendor: </w:t>
      </w:r>
      <w:r>
        <w:rPr>
          <w:rFonts w:ascii="Arial" w:cs="Arial" w:eastAsia="Arial" w:hAnsi="Arial"/>
          <w:sz w:val="22"/>
          <w:szCs w:val="22"/>
        </w:rPr>
        <w:t xml:space="preserve">Arjun Kapoor, Director, Stackular Technologies Pvt. Ltd.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date: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2026-06-05T10:53:36.063Z</dcterms:created>
  <dcterms:modified xsi:type="dcterms:W3CDTF">2026-06-05T10:53:36.064Z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