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CareFlow — Patient &amp; Telehealth Management 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BRD-MC-2026-002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May 28, 2026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Sarah Chen, VP Engineering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Dr. Priya Mehta, Chief Medical Officer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Dr. Rajiv Patel, CTO</w:t>
            </w:r>
          </w:p>
        </w:tc>
      </w:tr>
    </w:tbl>
    <w:p/>
    <w:p>
      <w:pPr>
        <w:pStyle w:val="Heading2"/>
      </w:pPr>
      <w:r>
        <w:t>1. Executive Summary</w:t>
      </w:r>
    </w:p>
    <w:p>
      <w:r>
        <w:rPr>
          <w:b w:val="0"/>
          <w:i w:val="0"/>
        </w:rPr>
        <w:t>MediConnect Health Systems requires a unified digital health platform to replace three aging, disconnected systems. This BRD captures all business requirements gathered during a 6-week discovery phase involving 34 stakeholder interviews, 12 workflow observation sessions, and analysis of 18 months of operational data. Requirements are prioritised using MoSCoW notation (Must / Should / Could / Won't).</w:t>
      </w:r>
    </w:p>
    <w:p>
      <w:pPr>
        <w:pStyle w:val="Heading2"/>
      </w:pPr>
      <w:r>
        <w:t>2. Business Context</w:t>
      </w:r>
    </w:p>
    <w:p>
      <w:pPr>
        <w:pStyle w:val="Heading3"/>
      </w:pPr>
      <w:r>
        <w:t>2.1 Problem Statement</w:t>
      </w:r>
    </w:p>
    <w:p>
      <w:r>
        <w:rPr>
          <w:b w:val="0"/>
          <w:i w:val="0"/>
        </w:rPr>
        <w:t>Administrative staff spend an average of 3.2 hours per provider per day reconciling data across three systems. The 22% no-show rate costs MediConnect approximately $2.3M annually in lost revenue. HIPAA auditors flagged unsecured provider-to-provider messaging via Teams in Q1 2026, resulting in a $45,000 fine and mandatory corrective action plan.</w:t>
      </w:r>
    </w:p>
    <w:p>
      <w:pPr>
        <w:pStyle w:val="Heading3"/>
      </w:pPr>
      <w:r>
        <w:t>2.2 Business Goals</w:t>
      </w:r>
    </w:p>
    <w:p>
      <w:pPr>
        <w:pStyle w:val="ListBullet"/>
      </w:pPr>
      <w:r>
        <w:t>BG-01: Reduce per-provider administrative overhead by &gt;=40% within 6 months of go-live.</w:t>
      </w:r>
    </w:p>
    <w:p>
      <w:pPr>
        <w:pStyle w:val="ListBullet"/>
      </w:pPr>
      <w:r>
        <w:t>BG-02: Reduce no-show rate from 22% to &lt;=10% via automated reminders.</w:t>
      </w:r>
    </w:p>
    <w:p>
      <w:pPr>
        <w:pStyle w:val="ListBullet"/>
      </w:pPr>
      <w:r>
        <w:t>BG-03: Achieve zero HIPAA findings in the next scheduled audit (Q1 2027).</w:t>
      </w:r>
    </w:p>
    <w:p>
      <w:pPr>
        <w:pStyle w:val="ListBullet"/>
      </w:pPr>
      <w:r>
        <w:t>BG-04: Increase telehealth visit volume by 35% by enabling self-serve booking.</w:t>
      </w:r>
    </w:p>
    <w:p>
      <w:pPr>
        <w:pStyle w:val="ListBullet"/>
      </w:pPr>
      <w:r>
        <w:t>BG-05: Reduce IT operating cost for legacy systems by $180,000/year post-migration.</w:t>
      </w:r>
    </w:p>
    <w:p>
      <w:pPr>
        <w:pStyle w:val="Heading2"/>
      </w:pPr>
      <w:r>
        <w:t>3. Stakeholder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Stakeholder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Interest</w:t>
            </w:r>
          </w:p>
        </w:tc>
        <w:tc>
          <w:tcPr>
            <w:tcW w:type="dxa" w:w="2160"/>
          </w:tcPr>
          <w:p>
            <w:r>
              <w:t>Influence</w:t>
            </w:r>
          </w:p>
        </w:tc>
      </w:tr>
      <w:tr>
        <w:tc>
          <w:tcPr>
            <w:tcW w:type="dxa" w:w="2160"/>
          </w:tcPr>
          <w:p>
            <w:r>
              <w:t>Dr. Rajiv Patel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Platform architecture, cost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Dr. Priya Mehta</w:t>
            </w:r>
          </w:p>
        </w:tc>
        <w:tc>
          <w:tcPr>
            <w:tcW w:type="dxa" w:w="2160"/>
          </w:tcPr>
          <w:p>
            <w:r>
              <w:t>CMO</w:t>
            </w:r>
          </w:p>
        </w:tc>
        <w:tc>
          <w:tcPr>
            <w:tcW w:type="dxa" w:w="2160"/>
          </w:tcPr>
          <w:p>
            <w:r>
              <w:t>Clinical workflows, compliance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Lisa Tanaka</w:t>
            </w:r>
          </w:p>
        </w:tc>
        <w:tc>
          <w:tcPr>
            <w:tcW w:type="dxa" w:w="2160"/>
          </w:tcPr>
          <w:p>
            <w:r>
              <w:t>Director of Nursing</w:t>
            </w:r>
          </w:p>
        </w:tc>
        <w:tc>
          <w:tcPr>
            <w:tcW w:type="dxa" w:w="2160"/>
          </w:tcPr>
          <w:p>
            <w:r>
              <w:t>Staff usability, training impact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Marcus Webb</w:t>
            </w:r>
          </w:p>
        </w:tc>
        <w:tc>
          <w:tcPr>
            <w:tcW w:type="dxa" w:w="2160"/>
          </w:tcPr>
          <w:p>
            <w:r>
              <w:t>Revenue Cycle Manager</w:t>
            </w:r>
          </w:p>
        </w:tc>
        <w:tc>
          <w:tcPr>
            <w:tcW w:type="dxa" w:w="2160"/>
          </w:tcPr>
          <w:p>
            <w:r>
              <w:t>Billing integration, reporting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Carlos Diaz</w:t>
            </w:r>
          </w:p>
        </w:tc>
        <w:tc>
          <w:tcPr>
            <w:tcW w:type="dxa" w:w="2160"/>
          </w:tcPr>
          <w:p>
            <w:r>
              <w:t>IT Infrastructure Lead</w:t>
            </w:r>
          </w:p>
        </w:tc>
        <w:tc>
          <w:tcPr>
            <w:tcW w:type="dxa" w:w="2160"/>
          </w:tcPr>
          <w:p>
            <w:r>
              <w:t>Cloud hosting, security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Patient Panel (8)</w:t>
            </w:r>
          </w:p>
        </w:tc>
        <w:tc>
          <w:tcPr>
            <w:tcW w:type="dxa" w:w="2160"/>
          </w:tcPr>
          <w:p>
            <w:r>
              <w:t>Patient Representatives</w:t>
            </w:r>
          </w:p>
        </w:tc>
        <w:tc>
          <w:tcPr>
            <w:tcW w:type="dxa" w:w="2160"/>
          </w:tcPr>
          <w:p>
            <w:r>
              <w:t>Ease of use, privacy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Compliance Officer</w:t>
            </w:r>
          </w:p>
        </w:tc>
        <w:tc>
          <w:tcPr>
            <w:tcW w:type="dxa" w:w="2160"/>
          </w:tcPr>
          <w:p>
            <w:r>
              <w:t>HIPAA/Compliance</w:t>
            </w:r>
          </w:p>
        </w:tc>
        <w:tc>
          <w:tcPr>
            <w:tcW w:type="dxa" w:w="2160"/>
          </w:tcPr>
          <w:p>
            <w:r>
              <w:t>Audit trail, data security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4. Functional Requirements</w:t>
      </w:r>
    </w:p>
    <w:p>
      <w:pPr>
        <w:pStyle w:val="Heading3"/>
      </w:pPr>
      <w:r>
        <w:t>4.1 Patient Portal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Requirement Statement</w:t>
            </w:r>
          </w:p>
        </w:tc>
      </w:tr>
      <w:tr>
        <w:tc>
          <w:tcPr>
            <w:tcW w:type="dxa" w:w="2880"/>
          </w:tcPr>
          <w:p>
            <w:r>
              <w:t>BR-PP-01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Patients shall self-register using email or SSO (Google/Apple)</w:t>
            </w:r>
          </w:p>
        </w:tc>
      </w:tr>
      <w:tr>
        <w:tc>
          <w:tcPr>
            <w:tcW w:type="dxa" w:w="2880"/>
          </w:tcPr>
          <w:p>
            <w:r>
              <w:t>BR-PP-02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Patients shall book, reschedule, and cancel appointments online 24/7</w:t>
            </w:r>
          </w:p>
        </w:tc>
      </w:tr>
      <w:tr>
        <w:tc>
          <w:tcPr>
            <w:tcW w:type="dxa" w:w="2880"/>
          </w:tcPr>
          <w:p>
            <w:r>
              <w:t>BR-PP-03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System shall send appointment reminders at T-48h and T-2h via SMS and email</w:t>
            </w:r>
          </w:p>
        </w:tc>
      </w:tr>
      <w:tr>
        <w:tc>
          <w:tcPr>
            <w:tcW w:type="dxa" w:w="2880"/>
          </w:tcPr>
          <w:p>
            <w:r>
              <w:t>BR-PP-04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Patients shall access their visit history and clinical documents (read-only)</w:t>
            </w:r>
          </w:p>
        </w:tc>
      </w:tr>
      <w:tr>
        <w:tc>
          <w:tcPr>
            <w:tcW w:type="dxa" w:w="2880"/>
          </w:tcPr>
          <w:p>
            <w:r>
              <w:t>BR-PP-05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Patients shall message their care team via HIPAA-secure in-app messaging</w:t>
            </w:r>
          </w:p>
        </w:tc>
      </w:tr>
      <w:tr>
        <w:tc>
          <w:tcPr>
            <w:tcW w:type="dxa" w:w="2880"/>
          </w:tcPr>
          <w:p>
            <w:r>
              <w:t>BR-PP-06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  <w:tc>
          <w:tcPr>
            <w:tcW w:type="dxa" w:w="2880"/>
          </w:tcPr>
          <w:p>
            <w:r>
              <w:t>Patients shall complete pre-visit intake forms digitally before appointment</w:t>
            </w:r>
          </w:p>
        </w:tc>
      </w:tr>
      <w:tr>
        <w:tc>
          <w:tcPr>
            <w:tcW w:type="dxa" w:w="2880"/>
          </w:tcPr>
          <w:p>
            <w:r>
              <w:t>BR-PP-07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  <w:tc>
          <w:tcPr>
            <w:tcW w:type="dxa" w:w="2880"/>
          </w:tcPr>
          <w:p>
            <w:r>
              <w:t>Patients shall view and pay outstanding balances</w:t>
            </w:r>
          </w:p>
        </w:tc>
      </w:tr>
      <w:tr>
        <w:tc>
          <w:tcPr>
            <w:tcW w:type="dxa" w:w="2880"/>
          </w:tcPr>
          <w:p>
            <w:r>
              <w:t>BR-PP-08</w:t>
            </w:r>
          </w:p>
        </w:tc>
        <w:tc>
          <w:tcPr>
            <w:tcW w:type="dxa" w:w="2880"/>
          </w:tcPr>
          <w:p>
            <w:r>
              <w:t>Could</w:t>
            </w:r>
          </w:p>
        </w:tc>
        <w:tc>
          <w:tcPr>
            <w:tcW w:type="dxa" w:w="2880"/>
          </w:tcPr>
          <w:p>
            <w:r>
              <w:t>Patients shall earn loyalty points for on-time attendance</w:t>
            </w:r>
          </w:p>
        </w:tc>
      </w:tr>
    </w:tbl>
    <w:p/>
    <w:p>
      <w:pPr>
        <w:pStyle w:val="Heading3"/>
      </w:pPr>
      <w:r>
        <w:t>4.2 Provider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Requirement Statement</w:t>
            </w:r>
          </w:p>
        </w:tc>
      </w:tr>
      <w:tr>
        <w:tc>
          <w:tcPr>
            <w:tcW w:type="dxa" w:w="2880"/>
          </w:tcPr>
          <w:p>
            <w:r>
              <w:t>BR-PD-01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Providers shall view their daily schedule with patient details in one screen</w:t>
            </w:r>
          </w:p>
        </w:tc>
      </w:tr>
      <w:tr>
        <w:tc>
          <w:tcPr>
            <w:tcW w:type="dxa" w:w="2880"/>
          </w:tcPr>
          <w:p>
            <w:r>
              <w:t>BR-PD-02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Providers shall mark appointment status (arrived, no-show, completed) in real time</w:t>
            </w:r>
          </w:p>
        </w:tc>
      </w:tr>
      <w:tr>
        <w:tc>
          <w:tcPr>
            <w:tcW w:type="dxa" w:w="2880"/>
          </w:tcPr>
          <w:p>
            <w:r>
              <w:t>BR-PD-03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Providers shall initiate a telehealth session directly from the schedule entry</w:t>
            </w:r>
          </w:p>
        </w:tc>
      </w:tr>
      <w:tr>
        <w:tc>
          <w:tcPr>
            <w:tcW w:type="dxa" w:w="2880"/>
          </w:tcPr>
          <w:p>
            <w:r>
              <w:t>BR-PD-04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Providers shall access patient intake forms and visit notes during consultation</w:t>
            </w:r>
          </w:p>
        </w:tc>
      </w:tr>
      <w:tr>
        <w:tc>
          <w:tcPr>
            <w:tcW w:type="dxa" w:w="2880"/>
          </w:tcPr>
          <w:p>
            <w:r>
              <w:t>BR-PD-05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  <w:tc>
          <w:tcPr>
            <w:tcW w:type="dxa" w:w="2880"/>
          </w:tcPr>
          <w:p>
            <w:r>
              <w:t>Providers shall see patient vitals (if connected wearable) on consultation screen</w:t>
            </w:r>
          </w:p>
        </w:tc>
      </w:tr>
      <w:tr>
        <w:tc>
          <w:tcPr>
            <w:tcW w:type="dxa" w:w="2880"/>
          </w:tcPr>
          <w:p>
            <w:r>
              <w:t>BR-PD-06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  <w:tc>
          <w:tcPr>
            <w:tcW w:type="dxa" w:w="2880"/>
          </w:tcPr>
          <w:p>
            <w:r>
              <w:t>Providers shall dictate clinical notes (speech-to-text) during consultation</w:t>
            </w:r>
          </w:p>
        </w:tc>
      </w:tr>
      <w:tr>
        <w:tc>
          <w:tcPr>
            <w:tcW w:type="dxa" w:w="2880"/>
          </w:tcPr>
          <w:p>
            <w:r>
              <w:t>BR-PD-07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Providers shall send secure messages to colleagues and care team members</w:t>
            </w:r>
          </w:p>
        </w:tc>
      </w:tr>
    </w:tbl>
    <w:p/>
    <w:p>
      <w:pPr>
        <w:pStyle w:val="Heading3"/>
      </w:pPr>
      <w:r>
        <w:t>4.3 Telehealth Module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Requirement Statement</w:t>
            </w:r>
          </w:p>
        </w:tc>
      </w:tr>
      <w:tr>
        <w:tc>
          <w:tcPr>
            <w:tcW w:type="dxa" w:w="2880"/>
          </w:tcPr>
          <w:p>
            <w:r>
              <w:t>BR-TH-01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System shall support HD video calls (1080p minimum) between patient and provider</w:t>
            </w:r>
          </w:p>
        </w:tc>
      </w:tr>
      <w:tr>
        <w:tc>
          <w:tcPr>
            <w:tcW w:type="dxa" w:w="2880"/>
          </w:tcPr>
          <w:p>
            <w:r>
              <w:t>BR-TH-02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Video calls shall be encrypted end-to-end (SRTP/DTLS) and HIPAA-compliant</w:t>
            </w:r>
          </w:p>
        </w:tc>
      </w:tr>
      <w:tr>
        <w:tc>
          <w:tcPr>
            <w:tcW w:type="dxa" w:w="2880"/>
          </w:tcPr>
          <w:p>
            <w:r>
              <w:t>BR-TH-03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System shall allow provider to share screen and annotate medical images during call</w:t>
            </w:r>
          </w:p>
        </w:tc>
      </w:tr>
      <w:tr>
        <w:tc>
          <w:tcPr>
            <w:tcW w:type="dxa" w:w="2880"/>
          </w:tcPr>
          <w:p>
            <w:r>
              <w:t>BR-TH-04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System shall record sessions only with explicit patient consent captured digitally</w:t>
            </w:r>
          </w:p>
        </w:tc>
      </w:tr>
      <w:tr>
        <w:tc>
          <w:tcPr>
            <w:tcW w:type="dxa" w:w="2880"/>
          </w:tcPr>
          <w:p>
            <w:r>
              <w:t>BR-TH-05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  <w:tc>
          <w:tcPr>
            <w:tcW w:type="dxa" w:w="2880"/>
          </w:tcPr>
          <w:p>
            <w:r>
              <w:t>System shall support multi-participant calls (patient + family + specialist)</w:t>
            </w:r>
          </w:p>
        </w:tc>
      </w:tr>
      <w:tr>
        <w:tc>
          <w:tcPr>
            <w:tcW w:type="dxa" w:w="2880"/>
          </w:tcPr>
          <w:p>
            <w:r>
              <w:t>BR-TH-06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  <w:tc>
          <w:tcPr>
            <w:tcW w:type="dxa" w:w="2880"/>
          </w:tcPr>
          <w:p>
            <w:r>
              <w:t>System shall send SMS/email join link to patient 15 minutes before session</w:t>
            </w:r>
          </w:p>
        </w:tc>
      </w:tr>
      <w:tr>
        <w:tc>
          <w:tcPr>
            <w:tcW w:type="dxa" w:w="2880"/>
          </w:tcPr>
          <w:p>
            <w:r>
              <w:t>BR-TH-07</w:t>
            </w:r>
          </w:p>
        </w:tc>
        <w:tc>
          <w:tcPr>
            <w:tcW w:type="dxa" w:w="2880"/>
          </w:tcPr>
          <w:p>
            <w:r>
              <w:t>Could</w:t>
            </w:r>
          </w:p>
        </w:tc>
        <w:tc>
          <w:tcPr>
            <w:tcW w:type="dxa" w:w="2880"/>
          </w:tcPr>
          <w:p>
            <w:r>
              <w:t>System shall provide a virtual waiting room with estimated wait time display</w:t>
            </w:r>
          </w:p>
        </w:tc>
      </w:tr>
    </w:tbl>
    <w:p/>
    <w:p>
      <w:pPr>
        <w:pStyle w:val="Heading3"/>
      </w:pPr>
      <w:r>
        <w:t>4.4 Administration &amp;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Requirement Statement</w:t>
            </w:r>
          </w:p>
        </w:tc>
      </w:tr>
      <w:tr>
        <w:tc>
          <w:tcPr>
            <w:tcW w:type="dxa" w:w="2880"/>
          </w:tcPr>
          <w:p>
            <w:r>
              <w:t>BR-AC-01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Admins shall manage user accounts, roles, and clinic assignments</w:t>
            </w:r>
          </w:p>
        </w:tc>
      </w:tr>
      <w:tr>
        <w:tc>
          <w:tcPr>
            <w:tcW w:type="dxa" w:w="2880"/>
          </w:tcPr>
          <w:p>
            <w:r>
              <w:t>BR-AC-02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System shall maintain an immutable audit log of all PHI access events</w:t>
            </w:r>
          </w:p>
        </w:tc>
      </w:tr>
      <w:tr>
        <w:tc>
          <w:tcPr>
            <w:tcW w:type="dxa" w:w="2880"/>
          </w:tcPr>
          <w:p>
            <w:r>
              <w:t>BR-AC-03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System shall enforce session timeout after 15 minutes of inactivity</w:t>
            </w:r>
          </w:p>
        </w:tc>
      </w:tr>
      <w:tr>
        <w:tc>
          <w:tcPr>
            <w:tcW w:type="dxa" w:w="2880"/>
          </w:tcPr>
          <w:p>
            <w:r>
              <w:t>BR-AC-04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System shall support MFA for all provider and admin accounts</w:t>
            </w:r>
          </w:p>
        </w:tc>
      </w:tr>
      <w:tr>
        <w:tc>
          <w:tcPr>
            <w:tcW w:type="dxa" w:w="2880"/>
          </w:tcPr>
          <w:p>
            <w:r>
              <w:t>BR-AC-05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System shall generate HIPAA-compliant access reports on demand</w:t>
            </w:r>
          </w:p>
        </w:tc>
      </w:tr>
      <w:tr>
        <w:tc>
          <w:tcPr>
            <w:tcW w:type="dxa" w:w="2880"/>
          </w:tcPr>
          <w:p>
            <w:r>
              <w:t>BR-AC-06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  <w:tc>
          <w:tcPr>
            <w:tcW w:type="dxa" w:w="2880"/>
          </w:tcPr>
          <w:p>
            <w:r>
              <w:t>Admins shall configure clinic operating hours, provider schedules, and services</w:t>
            </w:r>
          </w:p>
        </w:tc>
      </w:tr>
      <w:tr>
        <w:tc>
          <w:tcPr>
            <w:tcW w:type="dxa" w:w="2880"/>
          </w:tcPr>
          <w:p>
            <w:r>
              <w:t>BR-AC-07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  <w:tc>
          <w:tcPr>
            <w:tcW w:type="dxa" w:w="2880"/>
          </w:tcPr>
          <w:p>
            <w:r>
              <w:t>System shall retain PHI data for 7 years in compliance with 45 CFR s164.530</w:t>
            </w:r>
          </w:p>
        </w:tc>
      </w:tr>
    </w:tbl>
    <w:p/>
    <w:p>
      <w:pPr>
        <w:pStyle w:val="Heading2"/>
      </w:pPr>
      <w:r>
        <w:t>5.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Patient portal page load time &lt;= 2 seconds at p95 under 10,000 concurrent users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Telehealth call setup latency &lt;= 3 seconds</w:t>
            </w:r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99.9% monthly uptime for all patient-facing services</w:t>
            </w:r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All data at rest encrypted AES-256; all data in transit TLS 1.3+</w:t>
            </w:r>
          </w:p>
        </w:tc>
      </w:tr>
      <w:tr>
        <w:tc>
          <w:tcPr>
            <w:tcW w:type="dxa" w:w="2880"/>
          </w:tcPr>
          <w:p>
            <w:r>
              <w:t>NFR-05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HIPAA Business Associate Agreements in place for all sub-processors</w:t>
            </w:r>
          </w:p>
        </w:tc>
      </w:tr>
      <w:tr>
        <w:tc>
          <w:tcPr>
            <w:tcW w:type="dxa" w:w="2880"/>
          </w:tcPr>
          <w:p>
            <w:r>
              <w:t>NFR-06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System shall support 5x peak load without configuration changes (auto-scaling)</w:t>
            </w:r>
          </w:p>
        </w:tc>
      </w:tr>
      <w:tr>
        <w:tc>
          <w:tcPr>
            <w:tcW w:type="dxa" w:w="2880"/>
          </w:tcPr>
          <w:p>
            <w:r>
              <w:t>NFR-07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Patient portal SUS score &gt;= 80 (usability testing with 12 representative patients)</w:t>
            </w:r>
          </w:p>
        </w:tc>
      </w:tr>
      <w:tr>
        <w:tc>
          <w:tcPr>
            <w:tcW w:type="dxa" w:w="2880"/>
          </w:tcPr>
          <w:p>
            <w:r>
              <w:t>NFR-08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SOC 2 Type II certification achieved within 12 months of launch</w:t>
            </w:r>
          </w:p>
        </w:tc>
      </w:tr>
      <w:tr>
        <w:tc>
          <w:tcPr>
            <w:tcW w:type="dxa" w:w="2880"/>
          </w:tcPr>
          <w:p>
            <w:r>
              <w:t>NFR-09</w:t>
            </w:r>
          </w:p>
        </w:tc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Patient portal meets WCAG 2.1 AA standard</w:t>
            </w:r>
          </w:p>
        </w:tc>
      </w:tr>
      <w:tr>
        <w:tc>
          <w:tcPr>
            <w:tcW w:type="dxa" w:w="2880"/>
          </w:tcPr>
          <w:p>
            <w:r>
              <w:t>NFR-10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Automated daily backups; point-in-time recovery to within 1 hour</w:t>
            </w:r>
          </w:p>
        </w:tc>
      </w:tr>
    </w:tbl>
    <w:p/>
    <w:p>
      <w:pPr>
        <w:pStyle w:val="Heading2"/>
      </w:pPr>
      <w:r>
        <w:t>6. Constraints</w:t>
      </w:r>
    </w:p>
    <w:p>
      <w:pPr>
        <w:pStyle w:val="ListBullet"/>
      </w:pPr>
      <w:r>
        <w:t>Platform must be hosted on AWS (MediConnect has existing Enterprise Agreement).</w:t>
      </w:r>
    </w:p>
    <w:p>
      <w:pPr>
        <w:pStyle w:val="ListBullet"/>
      </w:pPr>
      <w:r>
        <w:t>Mobile applications must support iOS 15+ and Android 10+.</w:t>
      </w:r>
    </w:p>
    <w:p>
      <w:pPr>
        <w:pStyle w:val="ListBullet"/>
      </w:pPr>
      <w:r>
        <w:t>All patient-facing UI copy must be available in English and Spanish at launch.</w:t>
      </w:r>
    </w:p>
    <w:p>
      <w:pPr>
        <w:pStyle w:val="ListBullet"/>
      </w:pPr>
      <w:r>
        <w:t>Integration with Athena Health API v2 must not require changes to the EHR system.</w:t>
      </w:r>
    </w:p>
    <w:p>
      <w:pPr>
        <w:pStyle w:val="ListBullet"/>
      </w:pPr>
      <w:r>
        <w:t>Budget ceiling: USD $1,850,000 total cost of delivery.</w:t>
      </w:r>
    </w:p>
    <w:p>
      <w:pPr>
        <w:pStyle w:val="ListBullet"/>
      </w:pPr>
      <w:r>
        <w:t>Hard go-live deadline: January 15, 2027 (board-mandated).</w:t>
      </w:r>
    </w:p>
    <w:p>
      <w:pPr>
        <w:pStyle w:val="Heading2"/>
      </w:pPr>
      <w:r>
        <w:t>7. Acceptance Criteria Summary</w:t>
      </w:r>
    </w:p>
    <w:p>
      <w:r>
        <w:rPr>
          <w:b w:val="0"/>
          <w:i w:val="0"/>
        </w:rPr>
        <w:t>Acceptance is granted when: (a) all Must requirements pass documented test cases, (b) &gt;=85% of Should requirements pass, (c) SUS score &gt;=80 from patient usability testing, (d) zero open P1 security findings, (e) successful HIPAA pen test report with no critical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— CareFlow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