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SPECIFICATION</w:t>
      </w:r>
    </w:p>
    <w:p>
      <w:pPr>
        <w:pStyle w:val="Heading2"/>
      </w:pPr>
      <w:r>
        <w:t>CareFlow — Patient &amp; Telehealth Management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FRS-MC-2026-003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BASELINED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2, 2026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Carlos Diaz / Sarah Chen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CareFlow v1.0</w:t>
            </w:r>
          </w:p>
        </w:tc>
      </w:tr>
    </w:tbl>
    <w:p/>
    <w:p>
      <w:pPr>
        <w:pStyle w:val="Heading2"/>
      </w:pPr>
      <w:r>
        <w:t>1. Introduction</w:t>
      </w:r>
    </w:p>
    <w:p>
      <w:r>
        <w:rPr>
          <w:b w:val="0"/>
          <w:i w:val="0"/>
        </w:rPr>
        <w:t>This FRS defines the detailed functional behaviour of the CareFlow system. Each requirement is traceable to a BRD business requirement. Test case IDs cross-reference the QA Test Plan (QTP-MC-2026-005).</w:t>
      </w:r>
    </w:p>
    <w:p>
      <w:pPr>
        <w:pStyle w:val="Heading2"/>
      </w:pPr>
      <w:r>
        <w:t>2. System Overview</w:t>
      </w:r>
    </w:p>
    <w:p>
      <w:r>
        <w:rPr>
          <w:b w:val="0"/>
          <w:i w:val="0"/>
        </w:rPr>
        <w:t>CareFlow is a multi-tenant SaaS application deployed on AWS. The system comprises: (1) React/TypeScript web application, (2) React Native mobile applications, (3) Node.js/Express API gateway, (4) Python microservices (scheduling engine, reminder engine, analytics), (5) PostgreSQL primary database, (6) Redis cache, (7) Elasticsearch for search and audit, (8) WebRTC telehealth module via Twilio.</w:t>
      </w:r>
    </w:p>
    <w:p>
      <w:pPr>
        <w:pStyle w:val="Heading2"/>
      </w:pPr>
      <w:r>
        <w:t>3. User Roles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Self-register, book/cancel appointments, message care team, join telehealth, view records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All Patient access + manage schedule, clinical notes, initiate telehealth, view full patient records</w:t>
            </w:r>
          </w:p>
        </w:tc>
      </w:tr>
      <w:tr>
        <w:tc>
          <w:tcPr>
            <w:tcW w:type="dxa" w:w="4320"/>
          </w:tcPr>
          <w:p>
            <w:r>
              <w:t>CLINIC_ADMIN</w:t>
            </w:r>
          </w:p>
        </w:tc>
        <w:tc>
          <w:tcPr>
            <w:tcW w:type="dxa" w:w="4320"/>
          </w:tcPr>
          <w:p>
            <w:r>
              <w:t>All Provider access + manage clinic users, configure services, view clinic analytics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Read-only access to appointments and payments; manage billing records</w:t>
            </w:r>
          </w:p>
        </w:tc>
      </w:tr>
      <w:tr>
        <w:tc>
          <w:tcPr>
            <w:tcW w:type="dxa" w:w="4320"/>
          </w:tcPr>
          <w:p>
            <w:r>
              <w:t>COMPLIANCE_OFFICER</w:t>
            </w:r>
          </w:p>
        </w:tc>
        <w:tc>
          <w:tcPr>
            <w:tcW w:type="dxa" w:w="4320"/>
          </w:tcPr>
          <w:p>
            <w:r>
              <w:t>Read-only access to all audit logs and compliance reports; cannot modify PHI</w:t>
            </w:r>
          </w:p>
        </w:tc>
      </w:tr>
      <w:tr>
        <w:tc>
          <w:tcPr>
            <w:tcW w:type="dxa" w:w="4320"/>
          </w:tcPr>
          <w:p>
            <w:r>
              <w:t>SUPER_ADMIN</w:t>
            </w:r>
          </w:p>
        </w:tc>
        <w:tc>
          <w:tcPr>
            <w:tcW w:type="dxa" w:w="4320"/>
          </w:tcPr>
          <w:p>
            <w:r>
              <w:t>Full system access; manage tenants, global configuration, system health</w:t>
            </w:r>
          </w:p>
        </w:tc>
      </w:tr>
    </w:tbl>
    <w:p/>
    <w:p>
      <w:pPr>
        <w:pStyle w:val="Heading2"/>
      </w:pPr>
      <w:r>
        <w:t>4. Functional Specifications</w:t>
      </w:r>
    </w:p>
    <w:p>
      <w:pPr>
        <w:pStyle w:val="Heading3"/>
      </w:pPr>
      <w:r>
        <w:t>4.1 Authentication &amp; Session Management</w:t>
      </w:r>
    </w:p>
    <w:p>
      <w:r>
        <w:rPr>
          <w:b w:val="0"/>
          <w:i w:val="0"/>
        </w:rPr>
        <w:t>FS-AUTH-01: The system shall authenticate patients via email/password or OAuth2 SSO (Google, Apple ID). Password must meet NIST SP 800-63B Level 2: min 8 chars, no complexity rules, breach-check against HaveIBeenPwned API.</w:t>
      </w:r>
    </w:p>
    <w:p>
      <w:r>
        <w:rPr>
          <w:b w:val="0"/>
          <w:i w:val="0"/>
        </w:rPr>
        <w:t>FS-AUTH-02: All Provider, Admin, and Compliance roles shall require TOTP-based MFA (RFC 6238) at every login. MFA bypass is not permitted under any circumstance.</w:t>
      </w:r>
    </w:p>
    <w:p>
      <w:r>
        <w:rPr>
          <w:b w:val="0"/>
          <w:i w:val="0"/>
        </w:rPr>
        <w:t>FS-AUTH-03: Sessions shall be invalidated after 15 minutes of inactivity. The system shall display a 2-minute warning before expiry with option to extend.</w:t>
      </w:r>
    </w:p>
    <w:p>
      <w:r>
        <w:rPr>
          <w:b w:val="0"/>
          <w:i w:val="0"/>
        </w:rPr>
        <w:t>FS-AUTH-04: Refresh tokens shall have a 24-hour TTL for patients, 8-hour TTL for clinical staff. Tokens shall be rotated on each use (sliding window).</w:t>
      </w:r>
    </w:p>
    <w:p>
      <w:r>
        <w:rPr>
          <w:b w:val="0"/>
          <w:i w:val="0"/>
        </w:rPr>
        <w:t>FS-AUTH-05: Failed login attempts shall trigger: lockout after 5 failures within 15 minutes; notify account owner by email; require CAPTCHA on next attempt.</w:t>
      </w:r>
    </w:p>
    <w:p>
      <w:r>
        <w:rPr>
          <w:b w:val="0"/>
          <w:i w:val="0"/>
        </w:rPr>
        <w:t>FS-AUTH-06: All authentication events shall be written to the immutable audit log within 100ms of the event.</w:t>
      </w:r>
    </w:p>
    <w:p>
      <w:pPr>
        <w:pStyle w:val="Heading3"/>
      </w:pPr>
      <w:r>
        <w:t>4.2 Appointment Scheduling Engine</w:t>
      </w:r>
    </w:p>
    <w:p>
      <w:r>
        <w:rPr>
          <w:b w:val="0"/>
          <w:i w:val="0"/>
        </w:rPr>
        <w:t>FS-SCH-01: The scheduler shall expose provider availability in 15-minute slots. Slot duration is configurable per service type (new patient = 60min, follow-up = 30min, telehealth = 30min).</w:t>
      </w:r>
    </w:p>
    <w:p>
      <w:r>
        <w:rPr>
          <w:b w:val="0"/>
          <w:i w:val="0"/>
        </w:rPr>
        <w:t>FS-SCH-02: The system shall prevent double-booking. Slot reservation shall use optimistic locking with a 5-minute hold timer. Expired holds release automatically.</w:t>
      </w:r>
    </w:p>
    <w:p>
      <w:r>
        <w:rPr>
          <w:b w:val="0"/>
          <w:i w:val="0"/>
        </w:rPr>
        <w:t>FS-SCH-03: The reminder engine shall dispatch SMS (Twilio) and email (SendGrid) at T-48h and T-2h. Failed dispatches shall retry x3 with exponential backoff (60s, 300s, 900s).</w:t>
      </w:r>
    </w:p>
    <w:p>
      <w:r>
        <w:rPr>
          <w:b w:val="0"/>
          <w:i w:val="0"/>
        </w:rPr>
        <w:t>FS-SCH-04: Patients shall be able to cancel or reschedule up to T-24h before the appointment without penalty. Within T-24h, cancellation triggers a late-cancel flag on the patient record.</w:t>
      </w:r>
    </w:p>
    <w:p>
      <w:r>
        <w:rPr>
          <w:b w:val="0"/>
          <w:i w:val="0"/>
        </w:rPr>
        <w:t>FS-SCH-05: The system shall track no-show history and surface a flag on the patient profile if no-show rate exceeds 30% over the preceding 12 months.</w:t>
      </w:r>
    </w:p>
    <w:p>
      <w:r>
        <w:rPr>
          <w:b w:val="0"/>
          <w:i w:val="0"/>
        </w:rPr>
        <w:t>FS-SCH-06: Scheduling state machine: PENDING -&gt; CONFIRMED -&gt; ARRIVED | NO_SHOW | CANCELLED. Transitions must be timestamped and logged.</w:t>
      </w:r>
    </w:p>
    <w:p>
      <w:pPr>
        <w:pStyle w:val="Heading3"/>
      </w:pPr>
      <w:r>
        <w:t>4.3 Telehealth Video Module</w:t>
      </w:r>
    </w:p>
    <w:p>
      <w:r>
        <w:rPr>
          <w:b w:val="0"/>
          <w:i w:val="0"/>
        </w:rPr>
        <w:t>FS-TH-01: Video sessions shall be established via Twilio Programmable Video API. Room creation shall be triggered by the provider clicking 'Start Session' &lt;=10 minutes before the scheduled time.</w:t>
      </w:r>
    </w:p>
    <w:p>
      <w:r>
        <w:rPr>
          <w:b w:val="0"/>
          <w:i w:val="0"/>
        </w:rPr>
        <w:t>FS-TH-02: The system shall display connection quality indicator (green/amber/red) for both participants. If connection drops below 150kbps, the system shall automatically downgrade to audio-only and notify participants.</w:t>
      </w:r>
    </w:p>
    <w:p>
      <w:r>
        <w:rPr>
          <w:b w:val="0"/>
          <w:i w:val="0"/>
        </w:rPr>
        <w:t>FS-TH-03: Session recording requires explicit patient consent captured as a digital checkbox with timestamp and IP address logged to audit. Recording without consent is a hard block.</w:t>
      </w:r>
    </w:p>
    <w:p>
      <w:r>
        <w:rPr>
          <w:b w:val="0"/>
          <w:i w:val="0"/>
        </w:rPr>
        <w:t>FS-TH-04: Recordings shall be stored in S3 with server-side AES-256 encryption. Access requires the requesting user's session token and is logged to audit.</w:t>
      </w:r>
    </w:p>
    <w:p>
      <w:r>
        <w:rPr>
          <w:b w:val="0"/>
          <w:i w:val="0"/>
        </w:rPr>
        <w:t>FS-TH-05: The virtual waiting room shall display: provider name, estimated wait time (+/- 5 min), and a connection test widget. Wait time exceeding 15 minutes triggers an SMS notification to the patient.</w:t>
      </w:r>
    </w:p>
    <w:p>
      <w:pPr>
        <w:pStyle w:val="Heading3"/>
      </w:pPr>
      <w:r>
        <w:t>4.4 Secure Messaging</w:t>
      </w:r>
    </w:p>
    <w:p>
      <w:r>
        <w:rPr>
          <w:b w:val="0"/>
          <w:i w:val="0"/>
        </w:rPr>
        <w:t>FS-MSG-01: Messages shall be encrypted at rest (AES-256) and in transit (TLS 1.3). Message content shall never be stored in plaintext.</w:t>
      </w:r>
    </w:p>
    <w:p>
      <w:r>
        <w:rPr>
          <w:b w:val="0"/>
          <w:i w:val="0"/>
        </w:rPr>
        <w:t>FS-MSG-02: Attachments are limited to: JPEG, PNG, PDF, DICOM. Max size 25MB per attachment. DICOM files are rendered via integrated OHIF viewer.</w:t>
      </w:r>
    </w:p>
    <w:p>
      <w:r>
        <w:rPr>
          <w:b w:val="0"/>
          <w:i w:val="0"/>
        </w:rPr>
        <w:t>FS-MSG-03: Push notifications for new messages shall not include PHI. Notification text: 'You have a new message from [Provider Name].' No message preview.</w:t>
      </w:r>
    </w:p>
    <w:p>
      <w:r>
        <w:rPr>
          <w:b w:val="0"/>
          <w:i w:val="0"/>
        </w:rPr>
        <w:t>FS-MSG-04: Message threads shall be retained for 7 years per 45 CFR s164.530(j). Deletion by users is not permitted; archival to cold storage after 2 years.</w:t>
      </w:r>
    </w:p>
    <w:p>
      <w:pPr>
        <w:pStyle w:val="Heading3"/>
      </w:pPr>
      <w:r>
        <w:t>4.5 Audit Log</w:t>
      </w:r>
    </w:p>
    <w:p>
      <w:r>
        <w:rPr>
          <w:b w:val="0"/>
          <w:i w:val="0"/>
        </w:rPr>
        <w:t>FS-AUD-01: All PHI access events (read, create, update, delete) shall generate an immutable audit record containing: user_id, role, action, resource_type, resource_id, timestamp (UTC), IP address, session_id.</w:t>
      </w:r>
    </w:p>
    <w:p>
      <w:r>
        <w:rPr>
          <w:b w:val="0"/>
          <w:i w:val="0"/>
        </w:rPr>
        <w:t>FS-AUD-02: Audit records shall be written to Elasticsearch with a write-once index policy. No application code shall have DELETE privilege on audit indices.</w:t>
      </w:r>
    </w:p>
    <w:p>
      <w:r>
        <w:rPr>
          <w:b w:val="0"/>
          <w:i w:val="0"/>
        </w:rPr>
        <w:t>FS-AUD-03: Compliance Officers shall be able to query audit logs by: date range, user, patient, action type, resource type. Query results exportable as CSV.</w:t>
      </w:r>
    </w:p>
    <w:p>
      <w:r>
        <w:rPr>
          <w:b w:val="0"/>
          <w:i w:val="0"/>
        </w:rPr>
        <w:t>FS-AUD-04: Audit log queries shall return results within 5 seconds for date ranges &lt;=90 days.</w:t>
      </w:r>
    </w:p>
    <w:p>
      <w:pPr>
        <w:pStyle w:val="Heading2"/>
      </w:pPr>
      <w:r>
        <w:t>5. Integration Interfaces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</w:tr>
      <w:tr>
        <w:tc>
          <w:tcPr>
            <w:tcW w:type="dxa" w:w="2160"/>
          </w:tcPr>
          <w:p>
            <w:r>
              <w:t>Athena Health API v2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Patient demographics sync, visit summary write-back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Twilio Video</w:t>
            </w:r>
          </w:p>
        </w:tc>
        <w:tc>
          <w:tcPr>
            <w:tcW w:type="dxa" w:w="2160"/>
          </w:tcPr>
          <w:p>
            <w:r>
              <w:t>REST+WebRTC</w:t>
            </w:r>
          </w:p>
        </w:tc>
        <w:tc>
          <w:tcPr>
            <w:tcW w:type="dxa" w:w="2160"/>
          </w:tcPr>
          <w:p>
            <w:r>
              <w:t>Telehealth room creation, participant management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Twilio SMS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Appointment reminders, MFA codes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SendGrid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Email reminders, account notifications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AWS S3</w:t>
            </w:r>
          </w:p>
        </w:tc>
        <w:tc>
          <w:tcPr>
            <w:tcW w:type="dxa" w:w="2160"/>
          </w:tcPr>
          <w:p>
            <w:r>
              <w:t>SDK</w:t>
            </w:r>
          </w:p>
        </w:tc>
        <w:tc>
          <w:tcPr>
            <w:tcW w:type="dxa" w:w="2160"/>
          </w:tcPr>
          <w:p>
            <w:r>
              <w:t>Recording storage, document storage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  <w:tr>
        <w:tc>
          <w:tcPr>
            <w:tcW w:type="dxa" w:w="2160"/>
          </w:tcPr>
          <w:p>
            <w:r>
              <w:t>HaveIBeenPwned API</w:t>
            </w:r>
          </w:p>
        </w:tc>
        <w:tc>
          <w:tcPr>
            <w:tcW w:type="dxa" w:w="2160"/>
          </w:tcPr>
          <w:p>
            <w:r>
              <w:t>REST</w:t>
            </w:r>
          </w:p>
        </w:tc>
        <w:tc>
          <w:tcPr>
            <w:tcW w:type="dxa" w:w="2160"/>
          </w:tcPr>
          <w:p>
            <w:r>
              <w:t>Password breach checking at registration</w:t>
            </w:r>
          </w:p>
        </w:tc>
        <w:tc>
          <w:tcPr>
            <w:tcW w:type="dxa" w:w="2160"/>
          </w:tcPr>
          <w:p>
            <w:r>
              <w:t>Phase 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Specification — CareFlow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