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CHARTER</w:t>
      </w:r>
    </w:p>
    <w:p>
      <w:pPr>
        <w:pStyle w:val="Heading2"/>
      </w:pPr>
      <w:r>
        <w:t>CareFlow — Patient &amp; Telehealth Management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CareFlow</w:t>
            </w:r>
          </w:p>
        </w:tc>
      </w:tr>
      <w:tr>
        <w:tc>
          <w:tcPr>
            <w:tcW w:type="dxa" w:w="4320"/>
          </w:tcPr>
          <w:p>
            <w:r>
              <w:t>Project Sponsor</w:t>
            </w:r>
          </w:p>
        </w:tc>
        <w:tc>
          <w:tcPr>
            <w:tcW w:type="dxa" w:w="4320"/>
          </w:tcPr>
          <w:p>
            <w:r>
              <w:t>Dr. Rajiv Patel, CTO — MediConnect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Sarah Chen, VP Engineering — MediConnect</w:t>
            </w:r>
          </w:p>
        </w:tc>
      </w:tr>
      <w:tr>
        <w:tc>
          <w:tcPr>
            <w:tcW w:type="dxa" w:w="4320"/>
          </w:tcPr>
          <w:p>
            <w:r>
              <w:t>Vendor PM</w:t>
            </w:r>
          </w:p>
        </w:tc>
        <w:tc>
          <w:tcPr>
            <w:tcW w:type="dxa" w:w="4320"/>
          </w:tcPr>
          <w:p>
            <w:r>
              <w:t>Priya Sharma, Delivery Lead — Stackular Technologies</w:t>
            </w:r>
          </w:p>
        </w:tc>
      </w:tr>
      <w:tr>
        <w:tc>
          <w:tcPr>
            <w:tcW w:type="dxa" w:w="4320"/>
          </w:tcPr>
          <w:p>
            <w:r>
              <w:t>Charter Date</w:t>
            </w:r>
          </w:p>
        </w:tc>
        <w:tc>
          <w:tcPr>
            <w:tcW w:type="dxa" w:w="4320"/>
          </w:tcPr>
          <w:p>
            <w:r>
              <w:t>June 5, 2026</w:t>
            </w:r>
          </w:p>
        </w:tc>
      </w:tr>
      <w:tr>
        <w:tc>
          <w:tcPr>
            <w:tcW w:type="dxa" w:w="4320"/>
          </w:tcPr>
          <w:p>
            <w:r>
              <w:t>Target Launch</w:t>
            </w:r>
          </w:p>
        </w:tc>
        <w:tc>
          <w:tcPr>
            <w:tcW w:type="dxa" w:w="4320"/>
          </w:tcPr>
          <w:p>
            <w:r>
              <w:t>January 15, 2027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USD $1,850,000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PC-MC-2026-001</w:t>
            </w:r>
          </w:p>
        </w:tc>
      </w:tr>
    </w:tbl>
    <w:p/>
    <w:p>
      <w:pPr>
        <w:pStyle w:val="Heading2"/>
      </w:pPr>
      <w:r>
        <w:t>1. Project Purpose &amp; Justification</w:t>
      </w:r>
    </w:p>
    <w:p>
      <w:r>
        <w:rPr>
          <w:b w:val="0"/>
          <w:i w:val="0"/>
        </w:rPr>
        <w:t>CareFlow is initiated to eliminate MediConnect's reliance on three disconnected legacy systems, reduce administrative overhead by 40%, cut no-show rates by more than half, and achieve zero HIPAA audit findings by Q1 2027. The project addresses a $2.3M annual revenue leakage from no-shows and a $45,000 Q1 2026 HIPAA fine.</w:t>
      </w:r>
    </w:p>
    <w:p>
      <w:pPr>
        <w:pStyle w:val="Heading2"/>
      </w:pPr>
      <w:r>
        <w:t>2. Project Objectives</w:t>
      </w:r>
    </w:p>
    <w:p>
      <w:pPr>
        <w:pStyle w:val="ListNumber"/>
      </w:pPr>
      <w:r>
        <w:t>Deliver a production-ready, HIPAA-compliant platform by January 15, 2027.</w:t>
      </w:r>
    </w:p>
    <w:p>
      <w:pPr>
        <w:pStyle w:val="ListNumber"/>
      </w:pPr>
      <w:r>
        <w:t>Achieve &gt;=90% patient portal adoption within 90 days of launch.</w:t>
      </w:r>
    </w:p>
    <w:p>
      <w:pPr>
        <w:pStyle w:val="ListNumber"/>
      </w:pPr>
      <w:r>
        <w:t>Reduce no-show rate to &lt;=10% within 6 months.</w:t>
      </w:r>
    </w:p>
    <w:p>
      <w:pPr>
        <w:pStyle w:val="ListNumber"/>
      </w:pPr>
      <w:r>
        <w:t>Reduce admin overhead per provider per day by &gt;=40% within 6 months.</w:t>
      </w:r>
    </w:p>
    <w:p>
      <w:pPr>
        <w:pStyle w:val="ListNumber"/>
      </w:pPr>
      <w:r>
        <w:t>Pass third-party HIPAA penetration test with zero critical findings.</w:t>
      </w:r>
    </w:p>
    <w:p>
      <w:pPr>
        <w:pStyle w:val="Heading2"/>
      </w:pPr>
      <w:r>
        <w:t>3. High-Level Scope</w:t>
      </w:r>
    </w:p>
    <w:p>
      <w:r>
        <w:rPr>
          <w:b w:val="0"/>
          <w:i w:val="0"/>
        </w:rPr>
        <w:t>In Scope: Patient portal, provider dashboard, telehealth module, reminder engine, admin portal, iOS/Android apps, data migration, staff training, 12-month support.</w:t>
        <w:br/>
        <w:br/>
        <w:t>Out of Scope: Pharmacy integration, AI diagnostics, insurance billing, hardware procurement.</w:t>
      </w:r>
    </w:p>
    <w:p>
      <w:pPr>
        <w:pStyle w:val="Heading2"/>
      </w:pPr>
      <w:r>
        <w:t>4. Project Organisation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Project Sponsor</w:t>
            </w:r>
          </w:p>
        </w:tc>
        <w:tc>
          <w:tcPr>
            <w:tcW w:type="dxa" w:w="2880"/>
          </w:tcPr>
          <w:p>
            <w:r>
              <w:t>Dr. Rajiv Patel</w:t>
            </w:r>
          </w:p>
        </w:tc>
        <w:tc>
          <w:tcPr>
            <w:tcW w:type="dxa" w:w="2880"/>
          </w:tcPr>
          <w:p>
            <w:r>
              <w:t>Strategic decisions, budget approval, risk escalation</w:t>
            </w:r>
          </w:p>
        </w:tc>
      </w:tr>
      <w:tr>
        <w:tc>
          <w:tcPr>
            <w:tcW w:type="dxa" w:w="2880"/>
          </w:tcPr>
          <w:p>
            <w:r>
              <w:t>Project Manager (Client)</w:t>
            </w:r>
          </w:p>
        </w:tc>
        <w:tc>
          <w:tcPr>
            <w:tcW w:type="dxa" w:w="2880"/>
          </w:tcPr>
          <w:p>
            <w:r>
              <w:t>Sarah Chen</w:t>
            </w:r>
          </w:p>
        </w:tc>
        <w:tc>
          <w:tcPr>
            <w:tcW w:type="dxa" w:w="2880"/>
          </w:tcPr>
          <w:p>
            <w:r>
              <w:t>Requirements, UAT, stakeholder alignment</w:t>
            </w:r>
          </w:p>
        </w:tc>
      </w:tr>
      <w:tr>
        <w:tc>
          <w:tcPr>
            <w:tcW w:type="dxa" w:w="2880"/>
          </w:tcPr>
          <w:p>
            <w:r>
              <w:t>Project Manager (Vendor)</w:t>
            </w:r>
          </w:p>
        </w:tc>
        <w:tc>
          <w:tcPr>
            <w:tcW w:type="dxa" w:w="2880"/>
          </w:tcPr>
          <w:p>
            <w:r>
              <w:t>Priya Sharma</w:t>
            </w:r>
          </w:p>
        </w:tc>
        <w:tc>
          <w:tcPr>
            <w:tcW w:type="dxa" w:w="2880"/>
          </w:tcPr>
          <w:p>
            <w:r>
              <w:t>Delivery, team management, status reporting</w:t>
            </w:r>
          </w:p>
        </w:tc>
      </w:tr>
      <w:tr>
        <w:tc>
          <w:tcPr>
            <w:tcW w:type="dxa" w:w="2880"/>
          </w:tcPr>
          <w:p>
            <w:r>
              <w:t>Technical Lead (Vendor)</w:t>
            </w:r>
          </w:p>
        </w:tc>
        <w:tc>
          <w:tcPr>
            <w:tcW w:type="dxa" w:w="2880"/>
          </w:tcPr>
          <w:p>
            <w:r>
              <w:t>Amir Hosseini</w:t>
            </w:r>
          </w:p>
        </w:tc>
        <w:tc>
          <w:tcPr>
            <w:tcW w:type="dxa" w:w="2880"/>
          </w:tcPr>
          <w:p>
            <w:r>
              <w:t>Architecture, code quality, technical decisions</w:t>
            </w:r>
          </w:p>
        </w:tc>
      </w:tr>
      <w:tr>
        <w:tc>
          <w:tcPr>
            <w:tcW w:type="dxa" w:w="2880"/>
          </w:tcPr>
          <w:p>
            <w:r>
              <w:t>QA Lead (Vendor)</w:t>
            </w:r>
          </w:p>
        </w:tc>
        <w:tc>
          <w:tcPr>
            <w:tcW w:type="dxa" w:w="2880"/>
          </w:tcPr>
          <w:p>
            <w:r>
              <w:t>Mei Tanaka</w:t>
            </w:r>
          </w:p>
        </w:tc>
        <w:tc>
          <w:tcPr>
            <w:tcW w:type="dxa" w:w="2880"/>
          </w:tcPr>
          <w:p>
            <w:r>
              <w:t>Test strategy, UAT coordination</w:t>
            </w:r>
          </w:p>
        </w:tc>
      </w:tr>
      <w:tr>
        <w:tc>
          <w:tcPr>
            <w:tcW w:type="dxa" w:w="2880"/>
          </w:tcPr>
          <w:p>
            <w:r>
              <w:t>Security Lead (Vendor)</w:t>
            </w:r>
          </w:p>
        </w:tc>
        <w:tc>
          <w:tcPr>
            <w:tcW w:type="dxa" w:w="2880"/>
          </w:tcPr>
          <w:p>
            <w:r>
              <w:t>James Okafor</w:t>
            </w:r>
          </w:p>
        </w:tc>
        <w:tc>
          <w:tcPr>
            <w:tcW w:type="dxa" w:w="2880"/>
          </w:tcPr>
          <w:p>
            <w:r>
              <w:t>Security architecture, pen test management</w:t>
            </w:r>
          </w:p>
        </w:tc>
      </w:tr>
      <w:tr>
        <w:tc>
          <w:tcPr>
            <w:tcW w:type="dxa" w:w="2880"/>
          </w:tcPr>
          <w:p>
            <w:r>
              <w:t>Product Owner (Client)</w:t>
            </w:r>
          </w:p>
        </w:tc>
        <w:tc>
          <w:tcPr>
            <w:tcW w:type="dxa" w:w="2880"/>
          </w:tcPr>
          <w:p>
            <w:r>
              <w:t>Lisa Tanaka</w:t>
            </w:r>
          </w:p>
        </w:tc>
        <w:tc>
          <w:tcPr>
            <w:tcW w:type="dxa" w:w="2880"/>
          </w:tcPr>
          <w:p>
            <w:r>
              <w:t>Sprint priorities, feature acceptance</w:t>
            </w:r>
          </w:p>
        </w:tc>
      </w:tr>
    </w:tbl>
    <w:p/>
    <w:p>
      <w:pPr>
        <w:pStyle w:val="Heading2"/>
      </w:pPr>
      <w:r>
        <w:t>5. Budget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Contract Value</w:t>
            </w:r>
          </w:p>
        </w:tc>
        <w:tc>
          <w:tcPr>
            <w:tcW w:type="dxa" w:w="4320"/>
          </w:tcPr>
          <w:p>
            <w:r>
              <w:t>USD $1,850,000</w:t>
            </w:r>
          </w:p>
        </w:tc>
      </w:tr>
      <w:tr>
        <w:tc>
          <w:tcPr>
            <w:tcW w:type="dxa" w:w="4320"/>
          </w:tcPr>
          <w:p>
            <w:r>
              <w:t>Contingency Reserve</w:t>
            </w:r>
          </w:p>
        </w:tc>
        <w:tc>
          <w:tcPr>
            <w:tcW w:type="dxa" w:w="4320"/>
          </w:tcPr>
          <w:p>
            <w:r>
              <w:t>USD $92,500 (5%) — held by MediConnect</w:t>
            </w:r>
          </w:p>
        </w:tc>
      </w:tr>
      <w:tr>
        <w:tc>
          <w:tcPr>
            <w:tcW w:type="dxa" w:w="4320"/>
          </w:tcPr>
          <w:p>
            <w:r>
              <w:t>Change Order Budget</w:t>
            </w:r>
          </w:p>
        </w:tc>
        <w:tc>
          <w:tcPr>
            <w:tcW w:type="dxa" w:w="4320"/>
          </w:tcPr>
          <w:p>
            <w:r>
              <w:t>To be approved by Project Sponsor on case-by-case basis</w:t>
            </w:r>
          </w:p>
        </w:tc>
      </w:tr>
      <w:tr>
        <w:tc>
          <w:tcPr>
            <w:tcW w:type="dxa" w:w="4320"/>
          </w:tcPr>
          <w:p>
            <w:r>
              <w:t>Invoicing</w:t>
            </w:r>
          </w:p>
        </w:tc>
        <w:tc>
          <w:tcPr>
            <w:tcW w:type="dxa" w:w="4320"/>
          </w:tcPr>
          <w:p>
            <w:r>
              <w:t>Milestone-based per SOW-MC-2026-001 Section 6</w:t>
            </w:r>
          </w:p>
        </w:tc>
      </w:tr>
    </w:tbl>
    <w:p/>
    <w:p>
      <w:pPr>
        <w:pStyle w:val="Heading2"/>
      </w:pPr>
      <w:r>
        <w:t>6. Key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R-01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Athena Health API v2 credentials delayed</w:t>
            </w:r>
          </w:p>
        </w:tc>
        <w:tc>
          <w:tcPr>
            <w:tcW w:type="dxa" w:w="1728"/>
          </w:tcPr>
          <w:p>
            <w:r>
              <w:t>Block Phase 2 integration</w:t>
            </w:r>
          </w:p>
        </w:tc>
        <w:tc>
          <w:tcPr>
            <w:tcW w:type="dxa" w:w="1728"/>
          </w:tcPr>
          <w:p>
            <w:r>
              <w:t>Obtain credentials by Week 5; workaround: stub interface</w:t>
            </w:r>
          </w:p>
        </w:tc>
      </w:tr>
      <w:tr>
        <w:tc>
          <w:tcPr>
            <w:tcW w:type="dxa" w:w="1728"/>
          </w:tcPr>
          <w:p>
            <w:r>
              <w:t>R-02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HIPAA pen test uncovers critical findings</w:t>
            </w:r>
          </w:p>
        </w:tc>
        <w:tc>
          <w:tcPr>
            <w:tcW w:type="dxa" w:w="1728"/>
          </w:tcPr>
          <w:p>
            <w:r>
              <w:t>Delay go-live</w:t>
            </w:r>
          </w:p>
        </w:tc>
        <w:tc>
          <w:tcPr>
            <w:tcW w:type="dxa" w:w="1728"/>
          </w:tcPr>
          <w:p>
            <w:r>
              <w:t>Weekly security reviews; automated SAST in CI from Week 8</w:t>
            </w:r>
          </w:p>
        </w:tc>
      </w:tr>
      <w:tr>
        <w:tc>
          <w:tcPr>
            <w:tcW w:type="dxa" w:w="1728"/>
          </w:tcPr>
          <w:p>
            <w:r>
              <w:t>R-03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Key vendor staff turnover</w:t>
            </w:r>
          </w:p>
        </w:tc>
        <w:tc>
          <w:tcPr>
            <w:tcW w:type="dxa" w:w="1728"/>
          </w:tcPr>
          <w:p>
            <w:r>
              <w:t>Knowledge loss, delays</w:t>
            </w:r>
          </w:p>
        </w:tc>
        <w:tc>
          <w:tcPr>
            <w:tcW w:type="dxa" w:w="1728"/>
          </w:tcPr>
          <w:p>
            <w:r>
              <w:t>Pair-programming; comprehensive documentation</w:t>
            </w:r>
          </w:p>
        </w:tc>
      </w:tr>
      <w:tr>
        <w:tc>
          <w:tcPr>
            <w:tcW w:type="dxa" w:w="1728"/>
          </w:tcPr>
          <w:p>
            <w:r>
              <w:t>R-04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Legacy data quality issues in migration</w:t>
            </w:r>
          </w:p>
        </w:tc>
        <w:tc>
          <w:tcPr>
            <w:tcW w:type="dxa" w:w="1728"/>
          </w:tcPr>
          <w:p>
            <w:r>
              <w:t>Corrupted/incomplete records</w:t>
            </w:r>
          </w:p>
        </w:tc>
        <w:tc>
          <w:tcPr>
            <w:tcW w:type="dxa" w:w="1728"/>
          </w:tcPr>
          <w:p>
            <w:r>
              <w:t>Dry-run migrations in Weeks 26 and 28; validation scripts</w:t>
            </w:r>
          </w:p>
        </w:tc>
      </w:tr>
      <w:tr>
        <w:tc>
          <w:tcPr>
            <w:tcW w:type="dxa" w:w="1728"/>
          </w:tcPr>
          <w:p>
            <w:r>
              <w:t>R-05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Telehealth HIPAA BAA with Twilio delayed</w:t>
            </w:r>
          </w:p>
        </w:tc>
        <w:tc>
          <w:tcPr>
            <w:tcW w:type="dxa" w:w="1728"/>
          </w:tcPr>
          <w:p>
            <w:r>
              <w:t>Cannot launch telehealth</w:t>
            </w:r>
          </w:p>
        </w:tc>
        <w:tc>
          <w:tcPr>
            <w:tcW w:type="dxa" w:w="1728"/>
          </w:tcPr>
          <w:p>
            <w:r>
              <w:t>Initiate BAA process by Week 4</w:t>
            </w:r>
          </w:p>
        </w:tc>
      </w:tr>
      <w:tr>
        <w:tc>
          <w:tcPr>
            <w:tcW w:type="dxa" w:w="1728"/>
          </w:tcPr>
          <w:p>
            <w:r>
              <w:t>R-06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Patient portal adoption below target</w:t>
            </w:r>
          </w:p>
        </w:tc>
        <w:tc>
          <w:tcPr>
            <w:tcW w:type="dxa" w:w="1728"/>
          </w:tcPr>
          <w:p>
            <w:r>
              <w:t>No-show goal not met</w:t>
            </w:r>
          </w:p>
        </w:tc>
        <w:tc>
          <w:tcPr>
            <w:tcW w:type="dxa" w:w="1728"/>
          </w:tcPr>
          <w:p>
            <w:r>
              <w:t>Onboarding tutorial; clinic champion program</w:t>
            </w:r>
          </w:p>
        </w:tc>
      </w:tr>
    </w:tbl>
    <w:p/>
    <w:p>
      <w:pPr>
        <w:pStyle w:val="Heading2"/>
      </w:pPr>
      <w:r>
        <w:t>7. Success Criteria</w:t>
      </w:r>
    </w:p>
    <w:p>
      <w:pPr>
        <w:pStyle w:val="ListBullet"/>
      </w:pPr>
      <w:r>
        <w:t>No-show rate &lt;=10% within 6 months of launch.</w:t>
      </w:r>
    </w:p>
    <w:p>
      <w:pPr>
        <w:pStyle w:val="ListBullet"/>
      </w:pPr>
      <w:r>
        <w:t>Provider admin overhead reduced by &gt;=40%.</w:t>
      </w:r>
    </w:p>
    <w:p>
      <w:pPr>
        <w:pStyle w:val="ListBullet"/>
      </w:pPr>
      <w:r>
        <w:t>Zero critical or high security findings unresolved at go-live.</w:t>
      </w:r>
    </w:p>
    <w:p>
      <w:pPr>
        <w:pStyle w:val="ListBullet"/>
      </w:pPr>
      <w:r>
        <w:t>Patient portal SUS score &gt;=80.</w:t>
      </w:r>
    </w:p>
    <w:p>
      <w:pPr>
        <w:pStyle w:val="ListBullet"/>
      </w:pPr>
      <w:r>
        <w:t>System availability &gt;=99.9% over first 3 months of operation.</w:t>
      </w:r>
    </w:p>
    <w:p>
      <w:pPr>
        <w:pStyle w:val="Heading2"/>
      </w:pPr>
      <w:r>
        <w:t>8. Charter Approval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Sponsor</w:t>
            </w:r>
          </w:p>
        </w:tc>
        <w:tc>
          <w:tcPr>
            <w:tcW w:type="dxa" w:w="4320"/>
          </w:tcPr>
          <w:p>
            <w:r>
              <w:t>Dr. Rajiv Patel, CTO</w:t>
            </w:r>
          </w:p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Sarah Chen, VP Engineering</w:t>
            </w:r>
          </w:p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