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</w:t>
      </w:r>
    </w:p>
    <w:p>
      <w:pPr>
        <w:pStyle w:val="Heading2"/>
      </w:pPr>
      <w:r>
        <w:t>CareFlow — Patient &amp; Telehealth Management Platform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MediConnect Health Systems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Stackular Technologies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SOW-MC-2026-001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June 10, 2026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June 9, 2027</w:t>
            </w:r>
          </w:p>
        </w:tc>
      </w:tr>
      <w:tr>
        <w:tc>
          <w:tcPr>
            <w:tcW w:type="dxa" w:w="4320"/>
          </w:tcPr>
          <w:p>
            <w:r>
              <w:t>Contract Value</w:t>
            </w:r>
          </w:p>
        </w:tc>
        <w:tc>
          <w:tcPr>
            <w:tcW w:type="dxa" w:w="4320"/>
          </w:tcPr>
          <w:p>
            <w:r>
              <w:t>USD $1,850,000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Sarah Chen, VP Engineering — MediConnect</w:t>
            </w:r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>
              <w:t>Dr. Rajiv Patel, CTO — MediConnect</w:t>
            </w:r>
          </w:p>
        </w:tc>
      </w:tr>
    </w:tbl>
    <w:p/>
    <w:p>
      <w:pPr>
        <w:pStyle w:val="Heading2"/>
      </w:pPr>
      <w:r>
        <w:t>1. Background &amp; Purpose</w:t>
      </w:r>
    </w:p>
    <w:p>
      <w:r>
        <w:rPr>
          <w:b w:val="0"/>
          <w:i w:val="0"/>
        </w:rPr>
        <w:t>MediConnect Health Systems operates a network of 47 outpatient clinics across the Pacific Northwest. The organisation currently manages patient scheduling, clinical documentation, and provider communications across three disconnected legacy systems (Athena Health v14, an in-house PHP scheduling portal, and a Microsoft Teams-based telehealth workaround). The resulting fragmentation causes an estimated 3.2 hours of administrative overhead per provider per day, appointment no-show rates of 22%, and recurring HIPAA audit findings related to unsecured messaging.</w:t>
        <w:br/>
        <w:br/>
        <w:t>The CareFlow platform will consolidate all patient-facing and provider-facing workflows into a single HIPAA-compliant, cloud-native SaaS application. This SOW defines the scope of work Stackular Technologies will deliver under Contract MC-2026-TECH-04.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Reduce per-provider administrative overhead by ≥40% within 6 months of go-live.</w:t>
      </w:r>
    </w:p>
    <w:p>
      <w:pPr>
        <w:pStyle w:val="ListBullet"/>
      </w:pPr>
      <w:r>
        <w:t>Reduce appointment no-show rate from 22% to ≤10% via automated SMS/email reminders.</w:t>
      </w:r>
    </w:p>
    <w:p>
      <w:pPr>
        <w:pStyle w:val="ListBullet"/>
      </w:pPr>
      <w:r>
        <w:t>Achieve HIPAA compliance and pass third-party audit within 90 days of go-live.</w:t>
      </w:r>
    </w:p>
    <w:p>
      <w:pPr>
        <w:pStyle w:val="ListBullet"/>
      </w:pPr>
      <w:r>
        <w:t>Eliminate reliance on Microsoft Teams for clinical communications.</w:t>
      </w:r>
    </w:p>
    <w:p>
      <w:pPr>
        <w:pStyle w:val="ListBullet"/>
      </w:pPr>
      <w:r>
        <w:t>Provide real-time patient vitals dashboard for providers during telehealth sessions.</w:t>
      </w:r>
    </w:p>
    <w:p>
      <w:pPr>
        <w:pStyle w:val="ListBullet"/>
      </w:pPr>
      <w:r>
        <w:t>Enable integration with existing EHR (Athena Health API v2) within Phase 2.</w:t>
      </w:r>
    </w:p>
    <w:p>
      <w:pPr>
        <w:pStyle w:val="Heading2"/>
      </w:pPr>
      <w:r>
        <w:t>3. Scope of Work</w:t>
      </w:r>
    </w:p>
    <w:p>
      <w:pPr>
        <w:pStyle w:val="Heading3"/>
      </w:pPr>
      <w:r>
        <w:t>3.1 In Scope</w:t>
      </w:r>
    </w:p>
    <w:p>
      <w:pPr>
        <w:pStyle w:val="ListBullet"/>
      </w:pPr>
      <w:r>
        <w:t>Patient web portal (appointment booking, medical history, secure messaging)</w:t>
      </w:r>
    </w:p>
    <w:p>
      <w:pPr>
        <w:pStyle w:val="ListBullet"/>
      </w:pPr>
      <w:r>
        <w:t>Provider dashboard (schedule management, patient queue, telehealth launcher)</w:t>
      </w:r>
    </w:p>
    <w:p>
      <w:pPr>
        <w:pStyle w:val="ListBullet"/>
      </w:pPr>
      <w:r>
        <w:t>Telehealth video module (WebRTC-based, HIPAA BAA with Twilio)</w:t>
      </w:r>
    </w:p>
    <w:p>
      <w:pPr>
        <w:pStyle w:val="ListBullet"/>
      </w:pPr>
      <w:r>
        <w:t>Automated appointment reminder engine (SMS via Twilio, email via SendGrid)</w:t>
      </w:r>
    </w:p>
    <w:p>
      <w:pPr>
        <w:pStyle w:val="ListBullet"/>
      </w:pPr>
      <w:r>
        <w:t>Role-based access control (Patient, Provider, Admin, Billing, Compliance Officer)</w:t>
      </w:r>
    </w:p>
    <w:p>
      <w:pPr>
        <w:pStyle w:val="ListBullet"/>
      </w:pPr>
      <w:r>
        <w:t>Audit log and compliance reporting module</w:t>
      </w:r>
    </w:p>
    <w:p>
      <w:pPr>
        <w:pStyle w:val="ListBullet"/>
      </w:pPr>
      <w:r>
        <w:t>RESTful API layer for third-party EHR integration</w:t>
      </w:r>
    </w:p>
    <w:p>
      <w:pPr>
        <w:pStyle w:val="ListBullet"/>
      </w:pPr>
      <w:r>
        <w:t>Admin portal (user management, clinic configuration, analytics dashboard)</w:t>
      </w:r>
    </w:p>
    <w:p>
      <w:pPr>
        <w:pStyle w:val="ListBullet"/>
      </w:pPr>
      <w:r>
        <w:t>Mobile applications: iOS and Android (React Native)</w:t>
      </w:r>
    </w:p>
    <w:p>
      <w:pPr>
        <w:pStyle w:val="ListBullet"/>
      </w:pPr>
      <w:r>
        <w:t>Data migration from legacy scheduling system (CSV/API extract)</w:t>
      </w:r>
    </w:p>
    <w:p>
      <w:pPr>
        <w:pStyle w:val="ListBullet"/>
      </w:pPr>
      <w:r>
        <w:t>Staff training (16 hours live + video library)</w:t>
      </w:r>
    </w:p>
    <w:p>
      <w:pPr>
        <w:pStyle w:val="ListBullet"/>
      </w:pPr>
      <w:r>
        <w:t>12-month post-launch support SLA (99.9% uptime guarantee)</w:t>
      </w:r>
    </w:p>
    <w:p>
      <w:pPr>
        <w:pStyle w:val="Heading3"/>
      </w:pPr>
      <w:r>
        <w:t>3.2 Out of Scope</w:t>
      </w:r>
    </w:p>
    <w:p>
      <w:pPr>
        <w:pStyle w:val="ListBullet"/>
      </w:pPr>
      <w:r>
        <w:t>Integration with pharmacy systems (deferred to Phase 3)</w:t>
      </w:r>
    </w:p>
    <w:p>
      <w:pPr>
        <w:pStyle w:val="ListBullet"/>
      </w:pPr>
      <w:r>
        <w:t>AI diagnostic assistance tools</w:t>
      </w:r>
    </w:p>
    <w:p>
      <w:pPr>
        <w:pStyle w:val="ListBullet"/>
      </w:pPr>
      <w:r>
        <w:t>Medical billing / insurance claims processing</w:t>
      </w:r>
    </w:p>
    <w:p>
      <w:pPr>
        <w:pStyle w:val="ListBullet"/>
      </w:pPr>
      <w:r>
        <w:t>Hardware procurement (tablets, kiosk devices)</w:t>
      </w:r>
    </w:p>
    <w:p>
      <w:pPr>
        <w:pStyle w:val="ListBullet"/>
      </w:pPr>
      <w:r>
        <w:t>Legacy Athena Health data migration (client-managed)</w:t>
      </w:r>
    </w:p>
    <w:p>
      <w:pPr>
        <w:pStyle w:val="Heading2"/>
      </w:pPr>
      <w:r>
        <w:t>4.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D1 — Discovery Report</w:t>
            </w:r>
          </w:p>
        </w:tc>
        <w:tc>
          <w:tcPr>
            <w:tcW w:type="dxa" w:w="2160"/>
          </w:tcPr>
          <w:p>
            <w:r>
              <w:t>Documented AS-IS process map and gap analysis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Signed off by CTO</w:t>
            </w:r>
          </w:p>
        </w:tc>
      </w:tr>
      <w:tr>
        <w:tc>
          <w:tcPr>
            <w:tcW w:type="dxa" w:w="2160"/>
          </w:tcPr>
          <w:p>
            <w:r>
              <w:t>D2 — System Architecture</w:t>
            </w:r>
          </w:p>
        </w:tc>
        <w:tc>
          <w:tcPr>
            <w:tcW w:type="dxa" w:w="2160"/>
          </w:tcPr>
          <w:p>
            <w:r>
              <w:t>Cloud architecture diagram, tech stack decision, security model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r>
              <w:t>Architecture review board approval</w:t>
            </w:r>
          </w:p>
        </w:tc>
      </w:tr>
      <w:tr>
        <w:tc>
          <w:tcPr>
            <w:tcW w:type="dxa" w:w="2160"/>
          </w:tcPr>
          <w:p>
            <w:r>
              <w:t>D3 — Alpha Release</w:t>
            </w:r>
          </w:p>
        </w:tc>
        <w:tc>
          <w:tcPr>
            <w:tcW w:type="dxa" w:w="2160"/>
          </w:tcPr>
          <w:p>
            <w:r>
              <w:t>Core scheduling + provider dashboard functional</w:t>
            </w:r>
          </w:p>
        </w:tc>
        <w:tc>
          <w:tcPr>
            <w:tcW w:type="dxa" w:w="2160"/>
          </w:tcPr>
          <w:p>
            <w:r>
              <w:t>Week 16</w:t>
            </w:r>
          </w:p>
        </w:tc>
        <w:tc>
          <w:tcPr>
            <w:tcW w:type="dxa" w:w="2160"/>
          </w:tcPr>
          <w:p>
            <w:r>
              <w:t>UAT pass rate &gt;= 90%</w:t>
            </w:r>
          </w:p>
        </w:tc>
      </w:tr>
      <w:tr>
        <w:tc>
          <w:tcPr>
            <w:tcW w:type="dxa" w:w="2160"/>
          </w:tcPr>
          <w:p>
            <w:r>
              <w:t>D4 — Beta Release</w:t>
            </w:r>
          </w:p>
        </w:tc>
        <w:tc>
          <w:tcPr>
            <w:tcW w:type="dxa" w:w="2160"/>
          </w:tcPr>
          <w:p>
            <w:r>
              <w:t>All in-scope modules complete, telehealth live</w:t>
            </w:r>
          </w:p>
        </w:tc>
        <w:tc>
          <w:tcPr>
            <w:tcW w:type="dxa" w:w="2160"/>
          </w:tcPr>
          <w:p>
            <w:r>
              <w:t>Week 24</w:t>
            </w:r>
          </w:p>
        </w:tc>
        <w:tc>
          <w:tcPr>
            <w:tcW w:type="dxa" w:w="2160"/>
          </w:tcPr>
          <w:p>
            <w:r>
              <w:t>UAT pass rate &gt;= 95%, zero P1 bugs</w:t>
            </w:r>
          </w:p>
        </w:tc>
      </w:tr>
      <w:tr>
        <w:tc>
          <w:tcPr>
            <w:tcW w:type="dxa" w:w="2160"/>
          </w:tcPr>
          <w:p>
            <w:r>
              <w:t>D5 — Security Audit</w:t>
            </w:r>
          </w:p>
        </w:tc>
        <w:tc>
          <w:tcPr>
            <w:tcW w:type="dxa" w:w="2160"/>
          </w:tcPr>
          <w:p>
            <w:r>
              <w:t>Third-party HIPAA penetration test report</w:t>
            </w:r>
          </w:p>
        </w:tc>
        <w:tc>
          <w:tcPr>
            <w:tcW w:type="dxa" w:w="2160"/>
          </w:tcPr>
          <w:p>
            <w:r>
              <w:t>Week 26</w:t>
            </w:r>
          </w:p>
        </w:tc>
        <w:tc>
          <w:tcPr>
            <w:tcW w:type="dxa" w:w="2160"/>
          </w:tcPr>
          <w:p>
            <w:r>
              <w:t>No critical findings unresolved</w:t>
            </w:r>
          </w:p>
        </w:tc>
      </w:tr>
      <w:tr>
        <w:tc>
          <w:tcPr>
            <w:tcW w:type="dxa" w:w="2160"/>
          </w:tcPr>
          <w:p>
            <w:r>
              <w:t>D6 — Production Launch</w:t>
            </w:r>
          </w:p>
        </w:tc>
        <w:tc>
          <w:tcPr>
            <w:tcW w:type="dxa" w:w="2160"/>
          </w:tcPr>
          <w:p>
            <w:r>
              <w:t>Full go-live with data migration complete</w:t>
            </w:r>
          </w:p>
        </w:tc>
        <w:tc>
          <w:tcPr>
            <w:tcW w:type="dxa" w:w="2160"/>
          </w:tcPr>
          <w:p>
            <w:r>
              <w:t>Week 30</w:t>
            </w:r>
          </w:p>
        </w:tc>
        <w:tc>
          <w:tcPr>
            <w:tcW w:type="dxa" w:w="2160"/>
          </w:tcPr>
          <w:p>
            <w:r>
              <w:t>Uptime &gt;= 99.9% over 7-day burn-in</w:t>
            </w:r>
          </w:p>
        </w:tc>
      </w:tr>
      <w:tr>
        <w:tc>
          <w:tcPr>
            <w:tcW w:type="dxa" w:w="2160"/>
          </w:tcPr>
          <w:p>
            <w:r>
              <w:t>D7 — Training Completion</w:t>
            </w:r>
          </w:p>
        </w:tc>
        <w:tc>
          <w:tcPr>
            <w:tcW w:type="dxa" w:w="2160"/>
          </w:tcPr>
          <w:p>
            <w:r>
              <w:t>All staff trained, documentation delivered</w:t>
            </w:r>
          </w:p>
        </w:tc>
        <w:tc>
          <w:tcPr>
            <w:tcW w:type="dxa" w:w="2160"/>
          </w:tcPr>
          <w:p>
            <w:r>
              <w:t>Week 31</w:t>
            </w:r>
          </w:p>
        </w:tc>
        <w:tc>
          <w:tcPr>
            <w:tcW w:type="dxa" w:w="2160"/>
          </w:tcPr>
          <w:p>
            <w:r>
              <w:t>Training sign-off sheets</w:t>
            </w:r>
          </w:p>
        </w:tc>
      </w:tr>
      <w:tr>
        <w:tc>
          <w:tcPr>
            <w:tcW w:type="dxa" w:w="2160"/>
          </w:tcPr>
          <w:p>
            <w:r>
              <w:t>D8 — Handover Package</w:t>
            </w:r>
          </w:p>
        </w:tc>
        <w:tc>
          <w:tcPr>
            <w:tcW w:type="dxa" w:w="2160"/>
          </w:tcPr>
          <w:p>
            <w:r>
              <w:t>Source code, infra-as-code, runbooks, API docs</w:t>
            </w:r>
          </w:p>
        </w:tc>
        <w:tc>
          <w:tcPr>
            <w:tcW w:type="dxa" w:w="2160"/>
          </w:tcPr>
          <w:p>
            <w:r>
              <w:t>Week 32</w:t>
            </w:r>
          </w:p>
        </w:tc>
        <w:tc>
          <w:tcPr>
            <w:tcW w:type="dxa" w:w="2160"/>
          </w:tcPr>
          <w:p>
            <w:r>
              <w:t>Vendor sign-off</w:t>
            </w:r>
          </w:p>
        </w:tc>
      </w:tr>
    </w:tbl>
    <w:p/>
    <w:p>
      <w:pPr>
        <w:pStyle w:val="Heading2"/>
      </w:pPr>
      <w:r>
        <w:t>5. Timeline &amp; Milestones</w:t>
      </w:r>
    </w:p>
    <w:p>
      <w:r>
        <w:rPr>
          <w:b w:val="0"/>
          <w:i w:val="0"/>
        </w:rPr>
        <w:t>Total project duration: 32 weeks (June 10, 2026 — January 29, 2027)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Key Activities</w:t>
            </w:r>
          </w:p>
        </w:tc>
      </w:tr>
      <w:tr>
        <w:tc>
          <w:tcPr>
            <w:tcW w:type="dxa" w:w="2880"/>
          </w:tcPr>
          <w:p>
            <w:r>
              <w:t>Phase 0 — Discovery</w:t>
            </w:r>
          </w:p>
        </w:tc>
        <w:tc>
          <w:tcPr>
            <w:tcW w:type="dxa" w:w="2880"/>
          </w:tcPr>
          <w:p>
            <w:r>
              <w:t>Weeks 1-4</w:t>
            </w:r>
          </w:p>
        </w:tc>
        <w:tc>
          <w:tcPr>
            <w:tcW w:type="dxa" w:w="2880"/>
          </w:tcPr>
          <w:p>
            <w:r>
              <w:t>Stakeholder interviews, AS-IS mapping, requirements sign-off</w:t>
            </w:r>
          </w:p>
        </w:tc>
      </w:tr>
      <w:tr>
        <w:tc>
          <w:tcPr>
            <w:tcW w:type="dxa" w:w="2880"/>
          </w:tcPr>
          <w:p>
            <w:r>
              <w:t>Phase 1 — Architecture</w:t>
            </w:r>
          </w:p>
        </w:tc>
        <w:tc>
          <w:tcPr>
            <w:tcW w:type="dxa" w:w="2880"/>
          </w:tcPr>
          <w:p>
            <w:r>
              <w:t>Weeks 5-7</w:t>
            </w:r>
          </w:p>
        </w:tc>
        <w:tc>
          <w:tcPr>
            <w:tcW w:type="dxa" w:w="2880"/>
          </w:tcPr>
          <w:p>
            <w:r>
              <w:t>Tech stack finalisation, cloud setup, CI/CD pipeline, security baseline</w:t>
            </w:r>
          </w:p>
        </w:tc>
      </w:tr>
      <w:tr>
        <w:tc>
          <w:tcPr>
            <w:tcW w:type="dxa" w:w="2880"/>
          </w:tcPr>
          <w:p>
            <w:r>
              <w:t>Phase 2 — Core Build</w:t>
            </w:r>
          </w:p>
        </w:tc>
        <w:tc>
          <w:tcPr>
            <w:tcW w:type="dxa" w:w="2880"/>
          </w:tcPr>
          <w:p>
            <w:r>
              <w:t>Weeks 8-20</w:t>
            </w:r>
          </w:p>
        </w:tc>
        <w:tc>
          <w:tcPr>
            <w:tcW w:type="dxa" w:w="2880"/>
          </w:tcPr>
          <w:p>
            <w:r>
              <w:t>Patient portal, provider dashboard, scheduling engine, RBAC</w:t>
            </w:r>
          </w:p>
        </w:tc>
      </w:tr>
      <w:tr>
        <w:tc>
          <w:tcPr>
            <w:tcW w:type="dxa" w:w="2880"/>
          </w:tcPr>
          <w:p>
            <w:r>
              <w:t>Phase 3 — Telehealth</w:t>
            </w:r>
          </w:p>
        </w:tc>
        <w:tc>
          <w:tcPr>
            <w:tcW w:type="dxa" w:w="2880"/>
          </w:tcPr>
          <w:p>
            <w:r>
              <w:t>Weeks 18-24</w:t>
            </w:r>
          </w:p>
        </w:tc>
        <w:tc>
          <w:tcPr>
            <w:tcW w:type="dxa" w:w="2880"/>
          </w:tcPr>
          <w:p>
            <w:r>
              <w:t>Video module, reminder engine, mobile apps (parallel track)</w:t>
            </w:r>
          </w:p>
        </w:tc>
      </w:tr>
      <w:tr>
        <w:tc>
          <w:tcPr>
            <w:tcW w:type="dxa" w:w="2880"/>
          </w:tcPr>
          <w:p>
            <w:r>
              <w:t>Phase 4 — QA &amp; Security</w:t>
            </w:r>
          </w:p>
        </w:tc>
        <w:tc>
          <w:tcPr>
            <w:tcW w:type="dxa" w:w="2880"/>
          </w:tcPr>
          <w:p>
            <w:r>
              <w:t>Weeks 22-27</w:t>
            </w:r>
          </w:p>
        </w:tc>
        <w:tc>
          <w:tcPr>
            <w:tcW w:type="dxa" w:w="2880"/>
          </w:tcPr>
          <w:p>
            <w:r>
              <w:t>Integration testing, penetration test, UAT, bug remediation</w:t>
            </w:r>
          </w:p>
        </w:tc>
      </w:tr>
      <w:tr>
        <w:tc>
          <w:tcPr>
            <w:tcW w:type="dxa" w:w="2880"/>
          </w:tcPr>
          <w:p>
            <w:r>
              <w:t>Phase 5 — Migration</w:t>
            </w:r>
          </w:p>
        </w:tc>
        <w:tc>
          <w:tcPr>
            <w:tcW w:type="dxa" w:w="2880"/>
          </w:tcPr>
          <w:p>
            <w:r>
              <w:t>Weeks 26-29</w:t>
            </w:r>
          </w:p>
        </w:tc>
        <w:tc>
          <w:tcPr>
            <w:tcW w:type="dxa" w:w="2880"/>
          </w:tcPr>
          <w:p>
            <w:r>
              <w:t>Data migration dry-run x2, production migration</w:t>
            </w:r>
          </w:p>
        </w:tc>
      </w:tr>
      <w:tr>
        <w:tc>
          <w:tcPr>
            <w:tcW w:type="dxa" w:w="2880"/>
          </w:tcPr>
          <w:p>
            <w:r>
              <w:t>Phase 6 — Launch &amp; Train</w:t>
            </w:r>
          </w:p>
        </w:tc>
        <w:tc>
          <w:tcPr>
            <w:tcW w:type="dxa" w:w="2880"/>
          </w:tcPr>
          <w:p>
            <w:r>
              <w:t>Weeks 29-32</w:t>
            </w:r>
          </w:p>
        </w:tc>
        <w:tc>
          <w:tcPr>
            <w:tcW w:type="dxa" w:w="2880"/>
          </w:tcPr>
          <w:p>
            <w:r>
              <w:t>Phased go-live (5 pilot clinics -&gt; all 47), staff training</w:t>
            </w:r>
          </w:p>
        </w:tc>
      </w:tr>
    </w:tbl>
    <w:p/>
    <w:p>
      <w:pPr>
        <w:pStyle w:val="Heading2"/>
      </w:pPr>
      <w:r>
        <w:t>6. Payment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Contract execution</w:t>
            </w:r>
          </w:p>
        </w:tc>
        <w:tc>
          <w:tcPr>
            <w:tcW w:type="dxa" w:w="2880"/>
          </w:tcPr>
          <w:p>
            <w:r>
              <w:t>$185,000</w:t>
            </w:r>
          </w:p>
        </w:tc>
        <w:tc>
          <w:tcPr>
            <w:tcW w:type="dxa" w:w="2880"/>
          </w:tcPr>
          <w:p>
            <w:r>
              <w:t>June 10, 2026</w:t>
            </w:r>
          </w:p>
        </w:tc>
      </w:tr>
      <w:tr>
        <w:tc>
          <w:tcPr>
            <w:tcW w:type="dxa" w:w="2880"/>
          </w:tcPr>
          <w:p>
            <w:r>
              <w:t>D2 — Architecture approved</w:t>
            </w:r>
          </w:p>
        </w:tc>
        <w:tc>
          <w:tcPr>
            <w:tcW w:type="dxa" w:w="2880"/>
          </w:tcPr>
          <w:p>
            <w:r>
              <w:t>$277,500</w:t>
            </w:r>
          </w:p>
        </w:tc>
        <w:tc>
          <w:tcPr>
            <w:tcW w:type="dxa" w:w="2880"/>
          </w:tcPr>
          <w:p>
            <w:r>
              <w:t>July 22, 2026</w:t>
            </w:r>
          </w:p>
        </w:tc>
      </w:tr>
      <w:tr>
        <w:tc>
          <w:tcPr>
            <w:tcW w:type="dxa" w:w="2880"/>
          </w:tcPr>
          <w:p>
            <w:r>
              <w:t>D3 — Alpha UAT passed</w:t>
            </w:r>
          </w:p>
        </w:tc>
        <w:tc>
          <w:tcPr>
            <w:tcW w:type="dxa" w:w="2880"/>
          </w:tcPr>
          <w:p>
            <w:r>
              <w:t>$370,000</w:t>
            </w:r>
          </w:p>
        </w:tc>
        <w:tc>
          <w:tcPr>
            <w:tcW w:type="dxa" w:w="2880"/>
          </w:tcPr>
          <w:p>
            <w:r>
              <w:t>October 7, 2026</w:t>
            </w:r>
          </w:p>
        </w:tc>
      </w:tr>
      <w:tr>
        <w:tc>
          <w:tcPr>
            <w:tcW w:type="dxa" w:w="2880"/>
          </w:tcPr>
          <w:p>
            <w:r>
              <w:t>D4 — Beta UAT passed</w:t>
            </w:r>
          </w:p>
        </w:tc>
        <w:tc>
          <w:tcPr>
            <w:tcW w:type="dxa" w:w="2880"/>
          </w:tcPr>
          <w:p>
            <w:r>
              <w:t>$370,000</w:t>
            </w:r>
          </w:p>
        </w:tc>
        <w:tc>
          <w:tcPr>
            <w:tcW w:type="dxa" w:w="2880"/>
          </w:tcPr>
          <w:p>
            <w:r>
              <w:t>November 25, 2026</w:t>
            </w:r>
          </w:p>
        </w:tc>
      </w:tr>
      <w:tr>
        <w:tc>
          <w:tcPr>
            <w:tcW w:type="dxa" w:w="2880"/>
          </w:tcPr>
          <w:p>
            <w:r>
              <w:t>D6 — Production launch</w:t>
            </w:r>
          </w:p>
        </w:tc>
        <w:tc>
          <w:tcPr>
            <w:tcW w:type="dxa" w:w="2880"/>
          </w:tcPr>
          <w:p>
            <w:r>
              <w:t>$462,500</w:t>
            </w:r>
          </w:p>
        </w:tc>
        <w:tc>
          <w:tcPr>
            <w:tcW w:type="dxa" w:w="2880"/>
          </w:tcPr>
          <w:p>
            <w:r>
              <w:t>January 8, 2027</w:t>
            </w:r>
          </w:p>
        </w:tc>
      </w:tr>
      <w:tr>
        <w:tc>
          <w:tcPr>
            <w:tcW w:type="dxa" w:w="2880"/>
          </w:tcPr>
          <w:p>
            <w:r>
              <w:t>D8 — Handover complete</w:t>
            </w:r>
          </w:p>
        </w:tc>
        <w:tc>
          <w:tcPr>
            <w:tcW w:type="dxa" w:w="2880"/>
          </w:tcPr>
          <w:p>
            <w:r>
              <w:t>$185,000</w:t>
            </w:r>
          </w:p>
        </w:tc>
        <w:tc>
          <w:tcPr>
            <w:tcW w:type="dxa" w:w="2880"/>
          </w:tcPr>
          <w:p>
            <w:r>
              <w:t>January 29, 2027</w:t>
            </w:r>
          </w:p>
        </w:tc>
      </w:tr>
    </w:tbl>
    <w:p/>
    <w:p>
      <w:r>
        <w:rPr>
          <w:b w:val="0"/>
          <w:i w:val="0"/>
        </w:rPr>
        <w:t>Total: USD $1,850,000 (exclusive of applicable taxes)</w:t>
      </w:r>
    </w:p>
    <w:p>
      <w:pPr>
        <w:pStyle w:val="Heading2"/>
      </w:pPr>
      <w:r>
        <w:t>7. Assumptions &amp; Dependencies</w:t>
      </w:r>
    </w:p>
    <w:p>
      <w:pPr>
        <w:pStyle w:val="ListBullet"/>
      </w:pPr>
      <w:r>
        <w:t>MediConnect will provide a dedicated Product Owner (min. 0.5 FTE) for the project duration.</w:t>
      </w:r>
    </w:p>
    <w:p>
      <w:pPr>
        <w:pStyle w:val="ListBullet"/>
      </w:pPr>
      <w:r>
        <w:t>Athena Health API v2 credentials and sandbox access provided by Week 5.</w:t>
      </w:r>
    </w:p>
    <w:p>
      <w:pPr>
        <w:pStyle w:val="ListBullet"/>
      </w:pPr>
      <w:r>
        <w:t>MediConnect IT will provision VPN access for Stackular engineers by Week 2.</w:t>
      </w:r>
    </w:p>
    <w:p>
      <w:pPr>
        <w:pStyle w:val="ListBullet"/>
      </w:pPr>
      <w:r>
        <w:t>HIPAA Business Associate Agreement (BAA) executed with Twilio and AWS before Week 8.</w:t>
      </w:r>
    </w:p>
    <w:p>
      <w:pPr>
        <w:pStyle w:val="ListBullet"/>
      </w:pPr>
      <w:r>
        <w:t>Legacy scheduling data export (CSV) delivered by MediConnect by Week 25.</w:t>
      </w:r>
    </w:p>
    <w:p>
      <w:pPr>
        <w:pStyle w:val="ListBullet"/>
      </w:pPr>
      <w:r>
        <w:t>MediConnect security team available for architecture review in Weeks 5-6.</w:t>
      </w:r>
    </w:p>
    <w:p>
      <w:pPr>
        <w:pStyle w:val="Heading2"/>
      </w:pPr>
      <w:r>
        <w:t>8. Acceptance Criteria</w:t>
      </w:r>
    </w:p>
    <w:p>
      <w:r>
        <w:rPr>
          <w:b w:val="0"/>
          <w:i w:val="0"/>
        </w:rPr>
        <w:t>Each deliverable is accepted when: (a) all documented test cases pass at the stated pass rate threshold, (b) no Priority 1 or Priority 2 defects remain open, (c) the MediConnect Product Owner signs the Acceptance Certificate within 5 business days of delivery. Silence beyond 5 business days constitutes deemed acceptance.</w:t>
      </w:r>
    </w:p>
    <w:p>
      <w:pPr>
        <w:pStyle w:val="Heading2"/>
      </w:pPr>
      <w:r>
        <w:t>9. Change Management</w:t>
      </w:r>
    </w:p>
    <w:p>
      <w:r>
        <w:rPr>
          <w:b w:val="0"/>
          <w:i w:val="0"/>
        </w:rPr>
        <w:t>Any change to scope, timeline, or cost requires a signed Change Order (CO) before work begins. Changes requested within 72 hours of a milestone do not extend the milestone date unless the CO explicitly states otherwise. Stackular will provide a CO impact assessment within 3 business days of a change request.</w:t>
      </w:r>
    </w:p>
    <w:p>
      <w:pPr>
        <w:pStyle w:val="Heading2"/>
      </w:pPr>
      <w:r>
        <w:t>10. Warranties &amp; SLAs</w:t>
      </w:r>
    </w:p>
    <w:p>
      <w:r>
        <w:rPr>
          <w:b w:val="0"/>
          <w:i w:val="0"/>
        </w:rPr>
        <w:t>12-month post-launch warranty covering defect remediation at no charge for P1/P2 bugs. Production SLA: 99.9% monthly uptime (&lt;=43.8 min downtime/month). RTO: 4 hours. RPO: 1 hour. Excluding scheduled maintenance windows (max 4 hours/month, 48 hours notice).</w:t>
      </w:r>
    </w:p>
    <w:p>
      <w:pPr>
        <w:pStyle w:val="Heading2"/>
      </w:pPr>
      <w:r>
        <w:t>11. Confidentiality &amp; IP</w:t>
      </w:r>
    </w:p>
    <w:p>
      <w:r>
        <w:rPr>
          <w:b w:val="0"/>
          <w:i w:val="0"/>
        </w:rPr>
        <w:t>All work product, source code, and documentation produced under this SOW is the sole property of MediConnect Health Systems upon full payment. Stackular retains rights to generic, non-client-specific frameworks and tooling. Both parties are bound by the NDA executed February 14, 2026 (NDA-MC-2026-003).</w:t>
      </w:r>
    </w:p>
    <w:p>
      <w:pPr>
        <w:pStyle w:val="Heading2"/>
      </w:pPr>
      <w:r>
        <w:t>12. Signatures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MediConnect — Authorised Signatory</w:t>
            </w:r>
          </w:p>
        </w:tc>
        <w:tc>
          <w:tcPr>
            <w:tcW w:type="dxa" w:w="4320"/>
          </w:tcPr>
          <w:p>
            <w:r>
              <w:t>Dr. Rajiv Patel, CTO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Stackular Technologies — Authorised Signatory</w:t>
            </w:r>
          </w:p>
        </w:tc>
        <w:tc>
          <w:tcPr>
            <w:tcW w:type="dxa" w:w="4320"/>
          </w:tcPr>
          <w:p>
            <w:r>
              <w:t>Amir Hosseini, CEO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— CareFlow</dc:title>
  <dc:subject/>
  <dc:creator>MediConnect Procurement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