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Indemnification. The Vendor shall indemnify, defend and hold harmless the Client from and against any and all claims, damages and expenses, without limitation.</w:t>
      </w:r>
    </w:p>
    <w:p>
      <w:r>
        <w:t>Term and Termination. This Agreement shall commence on the Effective Date and continue for twelve (12) months, renewing automatically unless either party gives thirty (30)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