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5E8C"/>
          <w:sz w:val="56"/>
          <w:szCs w:val="56"/>
        </w:rPr>
        <w:t xml:space="preserve">YOUR LEARNING SEQUENCE</w:t>
      </w:r>
    </w:p>
    <w:p>
      <w:pPr>
        <w:spacing w:before="200"/>
        <w:jc w:val="center"/>
      </w:pPr>
      <w:r>
        <w:rPr>
          <w:rFonts w:ascii="Arial" w:cs="Arial" w:eastAsia="Arial" w:hAnsi="Arial"/>
          <w:color w:val="666666"/>
          <w:sz w:val="32"/>
          <w:szCs w:val="32"/>
        </w:rPr>
        <w:t xml:space="preserve">What to Watch, What to Read, What to Build</w:t>
      </w:r>
    </w:p>
    <w:p>
      <w:pPr>
        <w:spacing w:before="100"/>
        <w:jc w:val="center"/>
      </w:pPr>
      <w:r>
        <w:rPr>
          <w:rFonts w:ascii="Arial" w:cs="Arial" w:eastAsia="Arial" w:hAnsi="Arial"/>
          <w:color w:val="888888"/>
          <w:sz w:val="24"/>
          <w:szCs w:val="24"/>
        </w:rPr>
        <w:t xml:space="preserve">A Step-by-Step Video-First Learning Plan for Deep Learning Mastery</w:t>
      </w:r>
    </w:p>
    <w:p>
      <w:pPr>
        <w:spacing w:before="600"/>
      </w:pPr>
    </w:p>
    <w:p>
      <w:pPr>
        <w:pBdr>
          <w:top w:val="single" w:color="1B5E8C" w:sz="2" w:space="8"/>
          <w:bottom w:val="single" w:color="1B5E8C" w:sz="2" w:space="8"/>
        </w:pBdr>
        <w:spacing w:before="200" w:after="200"/>
        <w:jc w:val="center"/>
      </w:pPr>
      <w:r>
        <w:rPr>
          <w:rFonts w:ascii="Arial" w:cs="Arial" w:eastAsia="Arial" w:hAnsi="Arial"/>
          <w:i/>
          <w:iCs/>
          <w:color w:val="1B5E8C"/>
          <w:sz w:val="24"/>
          <w:szCs w:val="24"/>
        </w:rPr>
        <w:t xml:space="preserve">Watch the video → Code along → Do the lab → Analyze results</w:t>
      </w:r>
    </w:p>
    <w:p>
      <w:r>
        <w:br w:type="page"/>
      </w:r>
    </w:p>
    <w:p>
      <w:pPr>
        <w:pStyle w:val="Heading1"/>
      </w:pPr>
      <w:r>
        <w:t xml:space="preserve">Your Learning Strategy</w:t>
      </w:r>
    </w:p>
    <w:p>
      <w:pPr>
        <w:pStyle w:val="Heading2"/>
      </w:pPr>
      <w:r>
        <w:t xml:space="preserve">The Core Backbone: Karpathy’s Zero to Hero</w:t>
      </w:r>
    </w:p>
    <w:p>
      <w:pPr>
        <w:spacing w:after="140" w:line="300"/>
      </w:pPr>
      <w:r>
        <w:rPr>
          <w:rFonts w:ascii="Arial" w:cs="Arial" w:eastAsia="Arial" w:hAnsi="Arial"/>
          <w:sz w:val="22"/>
          <w:szCs w:val="22"/>
        </w:rPr>
        <w:t xml:space="preserve">Your primary learning material is Andrej Karpathy’s “Neural Networks: Zero to Hero” YouTube series. This is a 9-lecture course that builds from a tiny autograd engine all the way to a GPT. It is the single best video resource for learning deep learning by implementation, and it aligns perfectly with your learning philosophy.</w:t>
      </w:r>
    </w:p>
    <w:p>
      <w:pPr>
        <w:spacing w:before="120"/>
      </w:pPr>
    </w:p>
    <w:p>
      <w:pPr>
        <w:spacing w:after="140" w:line="300"/>
      </w:pPr>
      <w:r>
        <w:rPr>
          <w:rFonts w:ascii="Arial" w:cs="Arial" w:eastAsia="Arial" w:hAnsi="Arial"/>
          <w:b/>
          <w:bCs/>
          <w:sz w:val="22"/>
          <w:szCs w:val="22"/>
        </w:rPr>
        <w:t xml:space="preserve">Why this series is your spine: </w:t>
      </w:r>
      <w:r>
        <w:rPr>
          <w:rFonts w:ascii="Arial" w:cs="Arial" w:eastAsia="Arial" w:hAnsi="Arial"/>
          <w:sz w:val="22"/>
          <w:szCs w:val="22"/>
        </w:rPr>
        <w:t xml:space="preserve">Karpathy doesn’t just explain concepts—he builds them live, from scratch, in Python and PyTorch. Every lecture produces working code. After each lecture, you already know how to implement the thing. Your labs then serve as the test of whether you truly understood it.</w:t>
      </w:r>
    </w:p>
    <w:p>
      <w:pPr>
        <w:spacing w:before="120"/>
      </w:pPr>
    </w:p>
    <w:p>
      <w:pPr>
        <w:pStyle w:val="Heading2"/>
      </w:pPr>
      <w:r>
        <w:t xml:space="preserve">How to Work Through Each Unit</w:t>
      </w:r>
    </w:p>
    <w:p>
      <w:pPr>
        <w:pStyle w:val="ListParagraph"/>
        <w:numPr>
          <w:ilvl w:val="0"/>
          <w:numId w:val="2"/>
        </w:numPr>
        <w:spacing w:after="80" w:line="280"/>
      </w:pPr>
      <w:r>
        <w:rPr>
          <w:rFonts w:ascii="Arial" w:cs="Arial" w:eastAsia="Arial" w:hAnsi="Arial"/>
          <w:b/>
          <w:bCs/>
          <w:sz w:val="22"/>
          <w:szCs w:val="22"/>
        </w:rPr>
        <w:t xml:space="preserve">Watch the video </w:t>
      </w:r>
      <w:r>
        <w:rPr>
          <w:rFonts w:ascii="Arial" w:cs="Arial" w:eastAsia="Arial" w:hAnsi="Arial"/>
          <w:sz w:val="22"/>
          <w:szCs w:val="22"/>
        </w:rPr>
        <w:t xml:space="preserve">all the way through once without coding. Take notes on paper. Focus on the “why”, not the code.</w:t>
      </w:r>
    </w:p>
    <w:p>
      <w:pPr>
        <w:pStyle w:val="ListParagraph"/>
        <w:numPr>
          <w:ilvl w:val="0"/>
          <w:numId w:val="2"/>
        </w:numPr>
        <w:spacing w:after="80" w:line="280"/>
      </w:pPr>
      <w:r>
        <w:rPr>
          <w:rFonts w:ascii="Arial" w:cs="Arial" w:eastAsia="Arial" w:hAnsi="Arial"/>
          <w:b/>
          <w:bCs/>
          <w:sz w:val="22"/>
          <w:szCs w:val="22"/>
        </w:rPr>
        <w:t xml:space="preserve">Watch again and code along. </w:t>
      </w:r>
      <w:r>
        <w:rPr>
          <w:rFonts w:ascii="Arial" w:cs="Arial" w:eastAsia="Arial" w:hAnsi="Arial"/>
          <w:sz w:val="22"/>
          <w:szCs w:val="22"/>
        </w:rPr>
        <w:t xml:space="preserve">Pause, implement each piece yourself. Do not copy-paste from the video. Type every line.</w:t>
      </w:r>
    </w:p>
    <w:p>
      <w:pPr>
        <w:pStyle w:val="ListParagraph"/>
        <w:numPr>
          <w:ilvl w:val="0"/>
          <w:numId w:val="2"/>
        </w:numPr>
        <w:spacing w:after="80" w:line="280"/>
      </w:pPr>
      <w:r>
        <w:rPr>
          <w:rFonts w:ascii="Arial" w:cs="Arial" w:eastAsia="Arial" w:hAnsi="Arial"/>
          <w:b/>
          <w:bCs/>
          <w:sz w:val="22"/>
          <w:szCs w:val="22"/>
        </w:rPr>
        <w:t xml:space="preserve">Read the supplementary resource </w:t>
      </w:r>
      <w:r>
        <w:rPr>
          <w:rFonts w:ascii="Arial" w:cs="Arial" w:eastAsia="Arial" w:hAnsi="Arial"/>
          <w:sz w:val="22"/>
          <w:szCs w:val="22"/>
        </w:rPr>
        <w:t xml:space="preserve">(blog or short video) listed for that unit. This fills gaps the main video doesn’t cover.</w:t>
      </w:r>
    </w:p>
    <w:p>
      <w:pPr>
        <w:pStyle w:val="ListParagraph"/>
        <w:numPr>
          <w:ilvl w:val="0"/>
          <w:numId w:val="2"/>
        </w:numPr>
        <w:spacing w:after="80" w:line="280"/>
      </w:pPr>
      <w:r>
        <w:rPr>
          <w:rFonts w:ascii="Arial" w:cs="Arial" w:eastAsia="Arial" w:hAnsi="Arial"/>
          <w:b/>
          <w:bCs/>
          <w:sz w:val="22"/>
          <w:szCs w:val="22"/>
        </w:rPr>
        <w:t xml:space="preserve">Do your lab assignment. </w:t>
      </w:r>
      <w:r>
        <w:rPr>
          <w:rFonts w:ascii="Arial" w:cs="Arial" w:eastAsia="Arial" w:hAnsi="Arial"/>
          <w:sz w:val="22"/>
          <w:szCs w:val="22"/>
        </w:rPr>
        <w:t xml:space="preserve">This is your exam. Implement the TODO sections without referring back to the video. If you get stuck, that tells you what you didn’t actually learn.</w:t>
      </w:r>
    </w:p>
    <w:p>
      <w:pPr>
        <w:pStyle w:val="ListParagraph"/>
        <w:numPr>
          <w:ilvl w:val="0"/>
          <w:numId w:val="2"/>
        </w:numPr>
        <w:spacing w:after="80" w:line="280"/>
      </w:pPr>
      <w:r>
        <w:rPr>
          <w:rFonts w:ascii="Arial" w:cs="Arial" w:eastAsia="Arial" w:hAnsi="Arial"/>
          <w:b/>
          <w:bCs/>
          <w:sz w:val="22"/>
          <w:szCs w:val="22"/>
        </w:rPr>
        <w:t xml:space="preserve">Run the experiments and write analysis. </w:t>
      </w:r>
      <w:r>
        <w:rPr>
          <w:rFonts w:ascii="Arial" w:cs="Arial" w:eastAsia="Arial" w:hAnsi="Arial"/>
          <w:sz w:val="22"/>
          <w:szCs w:val="22"/>
        </w:rPr>
        <w:t xml:space="preserve">The lab isn’t done when the code runs. It’s done when you can explain every result.</w:t>
      </w:r>
    </w:p>
    <w:p>
      <w:pPr>
        <w:spacing w:before="120"/>
      </w:pPr>
    </w:p>
    <w:p>
      <w:pPr>
        <w:pStyle w:val="Heading2"/>
      </w:pPr>
      <w:r>
        <w:t xml:space="preserve">What the Videos Cover vs. What They Don’t</w:t>
      </w:r>
    </w:p>
    <w:p>
      <w:pPr>
        <w:spacing w:after="140" w:line="300"/>
      </w:pPr>
      <w:r>
        <w:rPr>
          <w:rFonts w:ascii="Arial" w:cs="Arial" w:eastAsia="Arial" w:hAnsi="Arial"/>
          <w:sz w:val="22"/>
          <w:szCs w:val="22"/>
        </w:rPr>
        <w:t xml:space="preserve">Karpathy’s series covers the foundational-to-transformer pipeline brilliantly but doesn’t cover CNN architectures, distributed training, deployment, or experiment rigor. For those topics, you’ll use targeted supplementary videos and blogs. The plan below tells you exactly when to switch to what.</w:t>
      </w:r>
    </w:p>
    <w:p>
      <w:r>
        <w:br w:type="page"/>
      </w:r>
    </w:p>
    <w:p>
      <w:pPr>
        <w:pStyle w:val="Heading1"/>
      </w:pPr>
      <w:r>
        <w:t xml:space="preserve">The Learning Sequence</w:t>
      </w:r>
    </w:p>
    <w:p>
      <w:pPr>
        <w:spacing w:before="120"/>
      </w:pPr>
    </w:p>
    <w:p>
      <w:pPr>
        <w:spacing w:before="100" w:after="60"/>
      </w:pPr>
      <w:r>
        <w:rPr>
          <w:rFonts w:ascii="Arial" w:cs="Arial" w:eastAsia="Arial" w:hAnsi="Arial"/>
          <w:b/>
          <w:bCs/>
          <w:color w:val="1B5E8C"/>
          <w:sz w:val="18"/>
          <w:szCs w:val="18"/>
        </w:rPr>
        <w:t xml:space="preserve">█ PHASE 1: FOUNDATIONS</w:t>
      </w:r>
    </w:p>
    <w:p>
      <w:pPr>
        <w:pStyle w:val="Heading2"/>
      </w:pPr>
      <w:r>
        <w:t xml:space="preserve">Unit 1 — Backpropagation &amp; Autograd</w:t>
      </w:r>
    </w:p>
    <w:p>
      <w:pPr>
        <w:spacing w:after="140" w:line="300"/>
      </w:pPr>
      <w:r>
        <w:rPr>
          <w:rFonts w:ascii="Arial" w:cs="Arial" w:eastAsia="Arial" w:hAnsi="Arial"/>
          <w:color w:val="2D6A4F"/>
          <w:sz w:val="22"/>
          <w:szCs w:val="22"/>
        </w:rPr>
        <w:t xml:space="preserve">Prepares you for: </w:t>
      </w:r>
      <w:r>
        <w:rPr>
          <w:rFonts w:ascii="Arial" w:cs="Arial" w:eastAsia="Arial" w:hAnsi="Arial"/>
          <w:b/>
          <w:bCs/>
          <w:sz w:val="22"/>
          <w:szCs w:val="22"/>
        </w:rPr>
        <w:t xml:space="preserve">Lab Group 1 (Tensor &amp; Autograd Insights)</w:t>
      </w:r>
    </w:p>
    <w:p>
      <w:pPr>
        <w:spacing w:before="120"/>
      </w:pPr>
    </w:p>
    <w:p>
      <w:pPr>
        <w:pStyle w:val="Heading3"/>
      </w:pPr>
      <w:r>
        <w:t xml:space="preserve">Main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1000"/>
        <w:gridCol w:w="4000"/>
      </w:tblGrid>
      <w:tr>
        <w:tc>
          <w:tcPr>
            <w:tcW w:type="dxa" w:w="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1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“The spelled-out intro to neural networks and backpropagation: building micrograd”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hrs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a complete autograd engine from scratch. Chain rule, computational graphs, backward pass, gradient accumulation. This single video teaches you more about autograd than any textbook.</w:t>
            </w:r>
          </w:p>
        </w:tc>
      </w:tr>
    </w:tbl>
    <w:p>
      <w:pPr>
        <w:spacing w:before="120"/>
      </w:pPr>
    </w:p>
    <w:p>
      <w:pPr>
        <w:pStyle w:val="Heading3"/>
      </w:pPr>
      <w:r>
        <w:t xml:space="preserve">Supplementary (Read After Video)</w:t>
      </w:r>
    </w:p>
    <w:p>
      <w:pPr>
        <w:pStyle w:val="ListParagraph"/>
        <w:numPr>
          <w:ilvl w:val="0"/>
          <w:numId w:val="3"/>
        </w:numPr>
        <w:spacing w:after="80" w:line="280"/>
      </w:pPr>
      <w:r>
        <w:rPr>
          <w:rFonts w:ascii="Arial" w:cs="Arial" w:eastAsia="Arial" w:hAnsi="Arial"/>
          <w:b/>
          <w:bCs/>
          <w:sz w:val="22"/>
          <w:szCs w:val="22"/>
        </w:rPr>
        <w:t xml:space="preserve">Blog: </w:t>
      </w:r>
      <w:r>
        <w:rPr>
          <w:rFonts w:ascii="Arial" w:cs="Arial" w:eastAsia="Arial" w:hAnsi="Arial"/>
          <w:sz w:val="22"/>
          <w:szCs w:val="22"/>
        </w:rPr>
        <w:t xml:space="preserve">Karpathy — “A Recipe for Training Neural Networks” (karpathy.github.io/2019/04/25/recipe). The definitive checklist for debugging training. You’ll reference this throughout your entire learning journey.</w:t>
      </w:r>
    </w:p>
    <w:p>
      <w:pPr>
        <w:pStyle w:val="ListParagraph"/>
        <w:numPr>
          <w:ilvl w:val="0"/>
          <w:numId w:val="3"/>
        </w:numPr>
        <w:spacing w:after="80" w:line="280"/>
      </w:pPr>
      <w:r>
        <w:rPr>
          <w:rFonts w:ascii="Arial" w:cs="Arial" w:eastAsia="Arial" w:hAnsi="Arial"/>
          <w:b/>
          <w:bCs/>
          <w:sz w:val="22"/>
          <w:szCs w:val="22"/>
        </w:rPr>
        <w:t xml:space="preserve">Blog: </w:t>
      </w:r>
      <w:r>
        <w:rPr>
          <w:rFonts w:ascii="Arial" w:cs="Arial" w:eastAsia="Arial" w:hAnsi="Arial"/>
          <w:sz w:val="22"/>
          <w:szCs w:val="22"/>
        </w:rPr>
        <w:t xml:space="preserve">Karpathy — “microgpt” (karpathy.github.io/2026/02/12/microgpt). A 200-line distillation of everything from micrograd to GPT. Read this after finishing the full series to see the complete picture condensed into one file.</w:t>
      </w:r>
    </w:p>
    <w:p>
      <w:pPr>
        <w:spacing w:before="120"/>
      </w:pPr>
    </w:p>
    <w:p>
      <w:pPr>
        <w:pStyle w:val="Heading3"/>
      </w:pPr>
      <w:r>
        <w:t xml:space="preserve">Then Do: Lab Group 1</w:t>
      </w:r>
    </w:p>
    <w:p>
      <w:pPr>
        <w:spacing w:after="140" w:line="300"/>
      </w:pPr>
      <w:r>
        <w:rPr>
          <w:rFonts w:ascii="Arial" w:cs="Arial" w:eastAsia="Arial" w:hAnsi="Arial"/>
          <w:sz w:val="22"/>
          <w:szCs w:val="22"/>
        </w:rPr>
        <w:t xml:space="preserve">Your lab tests whether you can implement autograd mechanics without Karpathy’s code in front of you. Implement manual backward passes, gradient checking, and tensor stride operations.</w:t>
      </w:r>
    </w:p>
    <w:p>
      <w:pPr>
        <w:spacing w:before="120"/>
      </w:pPr>
    </w:p>
    <w:p>
      <w:pPr>
        <w:spacing w:after="140" w:line="300"/>
      </w:pPr>
      <w:r>
        <w:rPr>
          <w:rFonts w:ascii="Arial" w:cs="Arial" w:eastAsia="Arial" w:hAnsi="Arial"/>
          <w:b/>
          <w:bCs/>
          <w:sz w:val="22"/>
          <w:szCs w:val="22"/>
        </w:rPr>
        <w:t xml:space="preserve">You know you’re ready to move on when: </w:t>
      </w:r>
      <w:r>
        <w:rPr>
          <w:rFonts w:ascii="Arial" w:cs="Arial" w:eastAsia="Arial" w:hAnsi="Arial"/>
          <w:sz w:val="22"/>
          <w:szCs w:val="22"/>
        </w:rPr>
        <w:t xml:space="preserve">You can explain what .grad, .backward(), retain_graph, and detach() do without looking anything up, and your gradient checking passes.</w:t>
      </w:r>
    </w:p>
    <w:p>
      <w:pPr>
        <w:pBdr>
          <w:bottom w:val="single" w:color="1B5E8C" w:sz="4" w:space="4"/>
        </w:pBdr>
        <w:spacing w:before="200" w:after="200"/>
      </w:pPr>
    </w:p>
    <w:p>
      <w:pPr>
        <w:pStyle w:val="Heading2"/>
      </w:pPr>
      <w:r>
        <w:t xml:space="preserve">Unit 2 — Training Dynamics: Initialization, Activations, BatchNorm</w:t>
      </w:r>
    </w:p>
    <w:p>
      <w:pPr>
        <w:spacing w:after="140" w:line="300"/>
      </w:pPr>
      <w:r>
        <w:rPr>
          <w:rFonts w:ascii="Arial" w:cs="Arial" w:eastAsia="Arial" w:hAnsi="Arial"/>
          <w:color w:val="2D6A4F"/>
          <w:sz w:val="22"/>
          <w:szCs w:val="22"/>
        </w:rPr>
        <w:t xml:space="preserve">Prepares you for: </w:t>
      </w:r>
      <w:r>
        <w:rPr>
          <w:rFonts w:ascii="Arial" w:cs="Arial" w:eastAsia="Arial" w:hAnsi="Arial"/>
          <w:b/>
          <w:bCs/>
          <w:sz w:val="22"/>
          <w:szCs w:val="22"/>
        </w:rPr>
        <w:t xml:space="preserve">Lab Group 2 (Training Dynamics &amp; Stability)</w:t>
      </w:r>
    </w:p>
    <w:p>
      <w:pPr>
        <w:spacing w:before="120"/>
      </w:pPr>
    </w:p>
    <w:p>
      <w:pPr>
        <w:pStyle w:val="Heading3"/>
      </w:pPr>
      <w:r>
        <w:t xml:space="preserve">Main Videos (Watch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1000"/>
        <w:gridCol w:w="4000"/>
      </w:tblGrid>
      <w:tr>
        <w:tc>
          <w:tcPr>
            <w:tcW w:type="dxa" w:w="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1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“Makemore Part 2 — MLP”</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hrs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an MLP character-level language model. Training loops, loss computation, learning rate tuning, train/dev/test splits, overfitting diagnostics.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Karpathy: “Makemore Part 3 — Activations &amp; Gradients, BatchNorm”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hrs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Weight initialization, activation function saturation, vanishing gradients visualized, BatchNorm implemented from scratch. This is the training dynamics masterclass.</w:t>
            </w:r>
          </w:p>
        </w:tc>
      </w:tr>
    </w:tbl>
    <w:p>
      <w:pPr>
        <w:spacing w:before="120"/>
      </w:pPr>
    </w:p>
    <w:p>
      <w:pPr>
        <w:pStyle w:val="Heading3"/>
      </w:pPr>
      <w:r>
        <w:t xml:space="preserve">Supplementary</w:t>
      </w:r>
    </w:p>
    <w:p>
      <w:pPr>
        <w:pStyle w:val="ListParagraph"/>
        <w:numPr>
          <w:ilvl w:val="0"/>
          <w:numId w:val="3"/>
        </w:numPr>
        <w:spacing w:after="80" w:line="280"/>
      </w:pPr>
      <w:r>
        <w:rPr>
          <w:rFonts w:ascii="Arial" w:cs="Arial" w:eastAsia="Arial" w:hAnsi="Arial"/>
          <w:b/>
          <w:bCs/>
          <w:sz w:val="22"/>
          <w:szCs w:val="22"/>
        </w:rPr>
        <w:t xml:space="preserve">Blog: </w:t>
      </w:r>
      <w:r>
        <w:rPr>
          <w:rFonts w:ascii="Arial" w:cs="Arial" w:eastAsia="Arial" w:hAnsi="Arial"/>
          <w:sz w:val="22"/>
          <w:szCs w:val="22"/>
        </w:rPr>
        <w:t xml:space="preserve">Sebastian Ruder — “An overview of gradient descent optimization algorithms” (ruder.io/optimizing-gradient-descent). The definitive optimizer comparison. Read sections on SGD, momentum, Adam. Understand the update rules mathematically.</w:t>
      </w:r>
    </w:p>
    <w:p>
      <w:pPr>
        <w:pStyle w:val="ListParagraph"/>
        <w:numPr>
          <w:ilvl w:val="0"/>
          <w:numId w:val="3"/>
        </w:numPr>
        <w:spacing w:after="80" w:line="280"/>
      </w:pPr>
      <w:r>
        <w:rPr>
          <w:rFonts w:ascii="Arial" w:cs="Arial" w:eastAsia="Arial" w:hAnsi="Arial"/>
          <w:b/>
          <w:bCs/>
          <w:sz w:val="22"/>
          <w:szCs w:val="22"/>
        </w:rPr>
        <w:t xml:space="preserve">Lecture notes: </w:t>
      </w:r>
      <w:r>
        <w:rPr>
          <w:rFonts w:ascii="Arial" w:cs="Arial" w:eastAsia="Arial" w:hAnsi="Arial"/>
          <w:sz w:val="22"/>
          <w:szCs w:val="22"/>
        </w:rPr>
        <w:t xml:space="preserve">CS231n — “Neural Networks Part 2: Setting up the Data and the Loss” and “Part 3: Learning and Evaluation” (cs231n.github.io). Reference these for the mathematical derivation of Xavier/He initialization.</w:t>
      </w:r>
    </w:p>
    <w:p>
      <w:pPr>
        <w:spacing w:before="120"/>
      </w:pPr>
    </w:p>
    <w:p>
      <w:pPr>
        <w:pStyle w:val="Heading3"/>
      </w:pPr>
      <w:r>
        <w:t xml:space="preserve">Then Do: Lab Group 2</w:t>
      </w:r>
    </w:p>
    <w:p>
      <w:pPr>
        <w:spacing w:after="140" w:line="300"/>
      </w:pPr>
      <w:r>
        <w:rPr>
          <w:rFonts w:ascii="Arial" w:cs="Arial" w:eastAsia="Arial" w:hAnsi="Arial"/>
          <w:sz w:val="22"/>
          <w:szCs w:val="22"/>
        </w:rPr>
        <w:t xml:space="preserve">Implement Xavier/He init from the formulas, SGD with momentum from scratch, Adam from scratch, and BatchNorm forward/backward. Run the initialization and optimizer comparison experiments.</w:t>
      </w:r>
    </w:p>
    <w:p>
      <w:pPr>
        <w:spacing w:before="120"/>
      </w:pPr>
    </w:p>
    <w:p>
      <w:pPr>
        <w:spacing w:after="140" w:line="300"/>
      </w:pPr>
      <w:r>
        <w:rPr>
          <w:rFonts w:ascii="Arial" w:cs="Arial" w:eastAsia="Arial" w:hAnsi="Arial"/>
          <w:b/>
          <w:bCs/>
          <w:sz w:val="22"/>
          <w:szCs w:val="22"/>
        </w:rPr>
        <w:t xml:space="preserve">You know you’re ready to move on when: </w:t>
      </w:r>
      <w:r>
        <w:rPr>
          <w:rFonts w:ascii="Arial" w:cs="Arial" w:eastAsia="Arial" w:hAnsi="Arial"/>
          <w:sz w:val="22"/>
          <w:szCs w:val="22"/>
        </w:rPr>
        <w:t xml:space="preserve">You can implement Adam’s update rule (with bias correction) on a whiteboard, and you can look at a training loss curve and diagnose whether the problem is learning rate, initialization, or saturation.</w:t>
      </w:r>
    </w:p>
    <w:p>
      <w:pPr>
        <w:pBdr>
          <w:bottom w:val="single" w:color="1B5E8C" w:sz="4" w:space="4"/>
        </w:pBdr>
        <w:spacing w:before="200" w:after="200"/>
      </w:pPr>
    </w:p>
    <w:p>
      <w:pPr>
        <w:pStyle w:val="Heading2"/>
      </w:pPr>
      <w:r>
        <w:t xml:space="preserve">Unit 3 — Becoming a Backprop Ninja</w:t>
      </w:r>
    </w:p>
    <w:p>
      <w:pPr>
        <w:spacing w:after="140" w:line="300"/>
      </w:pPr>
      <w:r>
        <w:rPr>
          <w:rFonts w:ascii="Arial" w:cs="Arial" w:eastAsia="Arial" w:hAnsi="Arial"/>
          <w:color w:val="2D6A4F"/>
          <w:sz w:val="22"/>
          <w:szCs w:val="22"/>
        </w:rPr>
        <w:t xml:space="preserve">Deepens: </w:t>
      </w:r>
      <w:r>
        <w:rPr>
          <w:rFonts w:ascii="Arial" w:cs="Arial" w:eastAsia="Arial" w:hAnsi="Arial"/>
          <w:b/>
          <w:bCs/>
          <w:sz w:val="22"/>
          <w:szCs w:val="22"/>
        </w:rPr>
        <w:t xml:space="preserve">Lab Groups 1–2 (solidifies your gradient intuition)</w:t>
      </w:r>
    </w:p>
    <w:p>
      <w:pPr>
        <w:spacing w:before="120"/>
      </w:pPr>
    </w:p>
    <w:p>
      <w:pPr>
        <w:pStyle w:val="Heading3"/>
      </w:pPr>
      <w:r>
        <w:t xml:space="preserve">Main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1000"/>
        <w:gridCol w:w="4000"/>
      </w:tblGrid>
      <w:tr>
        <w:tc>
          <w:tcPr>
            <w:tcW w:type="dxa" w:w="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1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“Makemore Part 4 — Becoming a Backprop Ninja”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hrs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backpropagation through an entire MLP at the tensor level (not scalar level like micrograd). Cross entropy backward, linear layer backward, BatchNorm backward, embedding backward. This is hard, and it’s supposed to be.</w:t>
            </w:r>
          </w:p>
        </w:tc>
      </w:tr>
    </w:tbl>
    <w:p>
      <w:pPr>
        <w:spacing w:before="120"/>
      </w:pPr>
    </w:p>
    <w:p>
      <w:pPr>
        <w:pStyle w:val="Heading3"/>
      </w:pPr>
      <w:r>
        <w:t xml:space="preserve">How to Use This Video</w:t>
      </w:r>
    </w:p>
    <w:p>
      <w:pPr>
        <w:spacing w:after="140" w:line="300"/>
      </w:pPr>
      <w:r>
        <w:rPr>
          <w:rFonts w:ascii="Arial" w:cs="Arial" w:eastAsia="Arial" w:hAnsi="Arial"/>
          <w:sz w:val="22"/>
          <w:szCs w:val="22"/>
        </w:rPr>
        <w:t xml:space="preserve">Karpathy explicitly says this video is not meant to be passively watched. He gives you a Google Colab exercise. Pause the video at each TODO, implement the backward pass yourself, then unpause to check. If your gradients don’t match, debug before moving on.</w:t>
      </w:r>
    </w:p>
    <w:p>
      <w:pPr>
        <w:spacing w:before="120"/>
      </w:pPr>
    </w:p>
    <w:p>
      <w:pPr>
        <w:spacing w:after="140" w:line="300"/>
      </w:pPr>
      <w:r>
        <w:rPr>
          <w:rFonts w:ascii="Arial" w:cs="Arial" w:eastAsia="Arial" w:hAnsi="Arial"/>
          <w:b/>
          <w:bCs/>
          <w:sz w:val="22"/>
          <w:szCs w:val="22"/>
        </w:rPr>
        <w:t xml:space="preserve">After this video, go back and redo your Lab Group 1 experiments. </w:t>
      </w:r>
      <w:r>
        <w:rPr>
          <w:rFonts w:ascii="Arial" w:cs="Arial" w:eastAsia="Arial" w:hAnsi="Arial"/>
          <w:sz w:val="22"/>
          <w:szCs w:val="22"/>
        </w:rPr>
        <w:t xml:space="preserve">You’ll understand them differently now.</w:t>
      </w:r>
    </w:p>
    <w:p>
      <w:r>
        <w:br w:type="page"/>
      </w:r>
    </w:p>
    <w:p>
      <w:pPr>
        <w:spacing w:before="100" w:after="60"/>
      </w:pPr>
      <w:r>
        <w:rPr>
          <w:rFonts w:ascii="Arial" w:cs="Arial" w:eastAsia="Arial" w:hAnsi="Arial"/>
          <w:b/>
          <w:bCs/>
          <w:color w:val="C55A11"/>
          <w:sz w:val="18"/>
          <w:szCs w:val="18"/>
        </w:rPr>
        <w:t xml:space="preserve">█ PHASE 2: ARCHITECTURES</w:t>
      </w:r>
    </w:p>
    <w:p>
      <w:pPr>
        <w:pStyle w:val="Heading2"/>
      </w:pPr>
      <w:r>
        <w:t xml:space="preserve">Unit 4 — Convolutional Neural Networks</w:t>
      </w:r>
    </w:p>
    <w:p>
      <w:pPr>
        <w:spacing w:after="140" w:line="300"/>
      </w:pPr>
      <w:r>
        <w:rPr>
          <w:rFonts w:ascii="Arial" w:cs="Arial" w:eastAsia="Arial" w:hAnsi="Arial"/>
          <w:color w:val="2D6A4F"/>
          <w:sz w:val="22"/>
          <w:szCs w:val="22"/>
        </w:rPr>
        <w:t xml:space="preserve">Prepares you for: </w:t>
      </w:r>
      <w:r>
        <w:rPr>
          <w:rFonts w:ascii="Arial" w:cs="Arial" w:eastAsia="Arial" w:hAnsi="Arial"/>
          <w:b/>
          <w:bCs/>
          <w:sz w:val="22"/>
          <w:szCs w:val="22"/>
        </w:rPr>
        <w:t xml:space="preserve">Lab Group 3 (Advanced Vision Systems)</w:t>
      </w:r>
    </w:p>
    <w:p>
      <w:pPr>
        <w:spacing w:before="120"/>
      </w:pPr>
    </w:p>
    <w:p>
      <w:pPr>
        <w:pStyle w:val="Heading3"/>
      </w:pPr>
      <w:r>
        <w:t xml:space="preserve">Main Videos (Watch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1000"/>
        <w:gridCol w:w="4000"/>
      </w:tblGrid>
      <w:tr>
        <w:tc>
          <w:tcPr>
            <w:tcW w:type="dxa" w:w="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1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“Makemore Part 5 — Building a WaveNet”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Hierarchical architecture with dilated convolutions. How to make networks deeper. Understanding torch.nn internals. This bridges MLPs to convolutional thinking.</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CS231n Lecture 5: “Convolutional Neural Networks” (YouTube, Spring 2017)</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hr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Convolution arithmetic, filters, stride, padding, pooling. The visual explanation of how convolutions work as feature detectors.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CS231n Lecture 9: “CNN Architectures” (YouTube, Spring 2017)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AlexNet, VGG, GoogLeNet, ResNet. The evolution of CNN architectures and the key insight of residual connections.</w:t>
            </w:r>
          </w:p>
        </w:tc>
      </w:tr>
    </w:tbl>
    <w:p>
      <w:pPr>
        <w:spacing w:before="120"/>
      </w:pPr>
    </w:p>
    <w:p>
      <w:pPr>
        <w:pStyle w:val="Heading3"/>
      </w:pPr>
      <w:r>
        <w:t xml:space="preserve">Supplementary</w:t>
      </w:r>
    </w:p>
    <w:p>
      <w:pPr>
        <w:pStyle w:val="ListParagraph"/>
        <w:numPr>
          <w:ilvl w:val="0"/>
          <w:numId w:val="3"/>
        </w:numPr>
        <w:spacing w:after="80" w:line="280"/>
      </w:pPr>
      <w:r>
        <w:rPr>
          <w:rFonts w:ascii="Arial" w:cs="Arial" w:eastAsia="Arial" w:hAnsi="Arial"/>
          <w:b/>
          <w:bCs/>
          <w:sz w:val="22"/>
          <w:szCs w:val="22"/>
        </w:rPr>
        <w:t xml:space="preserve">Blog: </w:t>
      </w:r>
      <w:r>
        <w:rPr>
          <w:rFonts w:ascii="Arial" w:cs="Arial" w:eastAsia="Arial" w:hAnsi="Arial"/>
          <w:sz w:val="22"/>
          <w:szCs w:val="22"/>
        </w:rPr>
        <w:t xml:space="preserve">Lilian Weng — “Object Detection” series (lilianweng.github.io). Best written overview of anchor boxes, IoU, NMS, YOLO, and mAP. Read this before implementing YOLO in your lab.</w:t>
      </w:r>
    </w:p>
    <w:p>
      <w:pPr>
        <w:pStyle w:val="ListParagraph"/>
        <w:numPr>
          <w:ilvl w:val="0"/>
          <w:numId w:val="3"/>
        </w:numPr>
        <w:spacing w:after="80" w:line="280"/>
      </w:pPr>
      <w:r>
        <w:rPr>
          <w:rFonts w:ascii="Arial" w:cs="Arial" w:eastAsia="Arial" w:hAnsi="Arial"/>
          <w:b/>
          <w:bCs/>
          <w:sz w:val="22"/>
          <w:szCs w:val="22"/>
        </w:rPr>
        <w:t xml:space="preserve">Video: </w:t>
      </w:r>
      <w:r>
        <w:rPr>
          <w:rFonts w:ascii="Arial" w:cs="Arial" w:eastAsia="Arial" w:hAnsi="Arial"/>
          <w:sz w:val="22"/>
          <w:szCs w:val="22"/>
        </w:rPr>
        <w:t xml:space="preserve">CS231n Lecture 11: “Detection and Segmentation” (YouTube, Spring 2017). Covers R-CNN family, YOLO, semantic segmentation, and U-Net concepts in one lecture.</w:t>
      </w:r>
    </w:p>
    <w:p>
      <w:pPr>
        <w:spacing w:before="120"/>
      </w:pPr>
    </w:p>
    <w:p>
      <w:pPr>
        <w:pStyle w:val="Heading3"/>
      </w:pPr>
      <w:r>
        <w:t xml:space="preserve">Then Do: Lab Group 3</w:t>
      </w:r>
    </w:p>
    <w:p>
      <w:pPr>
        <w:spacing w:after="140" w:line="300"/>
      </w:pPr>
      <w:r>
        <w:rPr>
          <w:rFonts w:ascii="Arial" w:cs="Arial" w:eastAsia="Arial" w:hAnsi="Arial"/>
          <w:sz w:val="22"/>
          <w:szCs w:val="22"/>
        </w:rPr>
        <w:t xml:space="preserve">Implement residual blocks, U-Net encoder-decoder, YOLO v1 loss, IoU, NMS, and mAP. Train a ResNet vs plain CNN on CIFAR-10 to see the degradation problem firsthand.</w:t>
      </w:r>
    </w:p>
    <w:p>
      <w:pPr>
        <w:spacing w:before="120"/>
      </w:pPr>
    </w:p>
    <w:p>
      <w:pPr>
        <w:spacing w:after="140" w:line="300"/>
      </w:pPr>
      <w:r>
        <w:rPr>
          <w:rFonts w:ascii="Arial" w:cs="Arial" w:eastAsia="Arial" w:hAnsi="Arial"/>
          <w:b/>
          <w:bCs/>
          <w:sz w:val="22"/>
          <w:szCs w:val="22"/>
        </w:rPr>
        <w:t xml:space="preserve">You know you’re ready to move on when: </w:t>
      </w:r>
      <w:r>
        <w:rPr>
          <w:rFonts w:ascii="Arial" w:cs="Arial" w:eastAsia="Arial" w:hAnsi="Arial"/>
          <w:sz w:val="22"/>
          <w:szCs w:val="22"/>
        </w:rPr>
        <w:t xml:space="preserve">You can draw a ResNet block from memory, explain why skip connections help gradient flow, and compute IoU by hand.</w:t>
      </w:r>
    </w:p>
    <w:p>
      <w:pPr>
        <w:pBdr>
          <w:bottom w:val="single" w:color="1B5E8C" w:sz="4" w:space="4"/>
        </w:pBdr>
        <w:spacing w:before="200" w:after="200"/>
      </w:pPr>
    </w:p>
    <w:p>
      <w:pPr>
        <w:pStyle w:val="Heading2"/>
      </w:pPr>
      <w:r>
        <w:t xml:space="preserve">Unit 5 — Sequence Models, Attention &amp; Transformers</w:t>
      </w:r>
    </w:p>
    <w:p>
      <w:pPr>
        <w:spacing w:after="140" w:line="300"/>
      </w:pPr>
      <w:r>
        <w:rPr>
          <w:rFonts w:ascii="Arial" w:cs="Arial" w:eastAsia="Arial" w:hAnsi="Arial"/>
          <w:color w:val="2D6A4F"/>
          <w:sz w:val="22"/>
          <w:szCs w:val="22"/>
        </w:rPr>
        <w:t xml:space="preserve">Prepares you for: </w:t>
      </w:r>
      <w:r>
        <w:rPr>
          <w:rFonts w:ascii="Arial" w:cs="Arial" w:eastAsia="Arial" w:hAnsi="Arial"/>
          <w:b/>
          <w:bCs/>
          <w:sz w:val="22"/>
          <w:szCs w:val="22"/>
        </w:rPr>
        <w:t xml:space="preserve">Lab Group 4 (Sequence Models &amp; Attention)</w:t>
      </w:r>
    </w:p>
    <w:p>
      <w:pPr>
        <w:spacing w:after="140" w:line="300"/>
      </w:pPr>
      <w:r>
        <w:rPr>
          <w:rFonts w:ascii="Arial" w:cs="Arial" w:eastAsia="Arial" w:hAnsi="Arial"/>
          <w:i/>
          <w:iCs/>
          <w:sz w:val="22"/>
          <w:szCs w:val="22"/>
        </w:rPr>
        <w:t xml:space="preserve">This is the biggest unit. Budget 2–3 weeks.</w:t>
      </w:r>
    </w:p>
    <w:p>
      <w:pPr>
        <w:spacing w:before="120"/>
      </w:pPr>
    </w:p>
    <w:p>
      <w:pPr>
        <w:pStyle w:val="Heading3"/>
      </w:pPr>
      <w:r>
        <w:t xml:space="preserve">Main Videos (Watch in This Exact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1000"/>
        <w:gridCol w:w="4000"/>
      </w:tblGrid>
      <w:tr>
        <w:tc>
          <w:tcPr>
            <w:tcW w:type="dxa" w:w="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1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CS231n Lecture 10: “Recurrent Neural Networks” (YouTube, Spring 2017)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RNN cell mechanics, BPTT, vanishing gradients in RNNs, LSTM/GRU gates, sequence-to-sequence, image captioning. The best lecture on RNN fundamentals.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Karpathy: “Let’s build GPT: from scratch, in code, spelled out”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hrs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This is the crown jewel. Builds a GPT from scratch. Self-attention, multi-head attention, transformer blocks, causal masking, positional encoding, training, and text generation. All in ~300 lines.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Umar Jamil: “Attention Is All You Need — Transformer Model Explanation”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hrs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 walkthrough of the full encoder-decoder Transformer (Karpathy only builds the decoder). Cross-attention, encoder, decoder masking, the full architecture with diagrams.</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Umar Jamil: “Coding a Transformer from scratch on PyTorch”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hrs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 PyTorch implementation of the full Transformer for translation. Watch this after Karpathy’s GPT video to see the encoder-decoder variant implemented.</w:t>
            </w:r>
          </w:p>
        </w:tc>
      </w:tr>
    </w:tbl>
    <w:p>
      <w:pPr>
        <w:spacing w:before="120"/>
      </w:pPr>
    </w:p>
    <w:p>
      <w:pPr>
        <w:pStyle w:val="Heading3"/>
      </w:pPr>
      <w:r>
        <w:t xml:space="preserve">Supplementary</w:t>
      </w:r>
    </w:p>
    <w:p>
      <w:pPr>
        <w:pStyle w:val="ListParagraph"/>
        <w:numPr>
          <w:ilvl w:val="0"/>
          <w:numId w:val="3"/>
        </w:numPr>
        <w:spacing w:after="80" w:line="280"/>
      </w:pPr>
      <w:r>
        <w:rPr>
          <w:rFonts w:ascii="Arial" w:cs="Arial" w:eastAsia="Arial" w:hAnsi="Arial"/>
          <w:b/>
          <w:bCs/>
          <w:sz w:val="22"/>
          <w:szCs w:val="22"/>
        </w:rPr>
        <w:t xml:space="preserve">Blog (essential): </w:t>
      </w:r>
      <w:r>
        <w:rPr>
          <w:rFonts w:ascii="Arial" w:cs="Arial" w:eastAsia="Arial" w:hAnsi="Arial"/>
          <w:sz w:val="22"/>
          <w:szCs w:val="22"/>
        </w:rPr>
        <w:t xml:space="preserve">Jay Alammar — “The Illustrated Transformer” (jalammar.github.io/illustrated-transformer). The best visual explanation of transformers ever made. Read this between videos 9 and 10. It has become a book (LLM-book.com) with updated content on modern variants.</w:t>
      </w:r>
    </w:p>
    <w:p>
      <w:pPr>
        <w:pStyle w:val="ListParagraph"/>
        <w:numPr>
          <w:ilvl w:val="0"/>
          <w:numId w:val="3"/>
        </w:numPr>
        <w:spacing w:after="80" w:line="280"/>
      </w:pPr>
      <w:r>
        <w:rPr>
          <w:rFonts w:ascii="Arial" w:cs="Arial" w:eastAsia="Arial" w:hAnsi="Arial"/>
          <w:b/>
          <w:bCs/>
          <w:sz w:val="22"/>
          <w:szCs w:val="22"/>
        </w:rPr>
        <w:t xml:space="preserve">Blog: </w:t>
      </w:r>
      <w:r>
        <w:rPr>
          <w:rFonts w:ascii="Arial" w:cs="Arial" w:eastAsia="Arial" w:hAnsi="Arial"/>
          <w:sz w:val="22"/>
          <w:szCs w:val="22"/>
        </w:rPr>
        <w:t xml:space="preserve">Chris Olah — “Understanding LSTM Networks” (colah.github.io). The definitive LSTM visual guide. Read this before watching lecture 10 if you want maximum clarity on gating.</w:t>
      </w:r>
    </w:p>
    <w:p>
      <w:pPr>
        <w:pStyle w:val="ListParagraph"/>
        <w:numPr>
          <w:ilvl w:val="0"/>
          <w:numId w:val="3"/>
        </w:numPr>
        <w:spacing w:after="80" w:line="280"/>
      </w:pPr>
      <w:r>
        <w:rPr>
          <w:rFonts w:ascii="Arial" w:cs="Arial" w:eastAsia="Arial" w:hAnsi="Arial"/>
          <w:b/>
          <w:bCs/>
          <w:sz w:val="22"/>
          <w:szCs w:val="22"/>
        </w:rPr>
        <w:t xml:space="preserve">Paper: </w:t>
      </w:r>
      <w:r>
        <w:rPr>
          <w:rFonts w:ascii="Arial" w:cs="Arial" w:eastAsia="Arial" w:hAnsi="Arial"/>
          <w:sz w:val="22"/>
          <w:szCs w:val="22"/>
        </w:rPr>
        <w:t xml:space="preserve">“Attention Is All You Need” (Vaswani et al. 2017). Read Sections 3.1–3.3 after watching all the videos. At this point the paper will feel readable.</w:t>
      </w:r>
    </w:p>
    <w:p>
      <w:pPr>
        <w:spacing w:before="120"/>
      </w:pPr>
    </w:p>
    <w:p>
      <w:pPr>
        <w:pStyle w:val="Heading3"/>
      </w:pPr>
      <w:r>
        <w:t xml:space="preserve">Then Do: Lab Group 4</w:t>
      </w:r>
    </w:p>
    <w:p>
      <w:pPr>
        <w:spacing w:after="140" w:line="300"/>
      </w:pPr>
      <w:r>
        <w:rPr>
          <w:rFonts w:ascii="Arial" w:cs="Arial" w:eastAsia="Arial" w:hAnsi="Arial"/>
          <w:sz w:val="22"/>
          <w:szCs w:val="22"/>
        </w:rPr>
        <w:t xml:space="preserve">Implement vanilla RNN cell, LSTM cell, Seq2Seq, scaled dot-product attention, multi-head attention, full Transformer block, causal masking, and positional encoding. Train a small GPT on tiny Shakespeare.</w:t>
      </w:r>
    </w:p>
    <w:p>
      <w:pPr>
        <w:spacing w:before="120"/>
      </w:pPr>
    </w:p>
    <w:p>
      <w:pPr>
        <w:spacing w:after="140" w:line="300"/>
      </w:pPr>
      <w:r>
        <w:rPr>
          <w:rFonts w:ascii="Arial" w:cs="Arial" w:eastAsia="Arial" w:hAnsi="Arial"/>
          <w:b/>
          <w:bCs/>
          <w:sz w:val="22"/>
          <w:szCs w:val="22"/>
        </w:rPr>
        <w:t xml:space="preserve">You know you’re ready to move on when: </w:t>
      </w:r>
      <w:r>
        <w:rPr>
          <w:rFonts w:ascii="Arial" w:cs="Arial" w:eastAsia="Arial" w:hAnsi="Arial"/>
          <w:sz w:val="22"/>
          <w:szCs w:val="22"/>
        </w:rPr>
        <w:t xml:space="preserve">You can implement multi-head attention from memory (Q, K, V projections, scaled dot-product, concatenation, output projection), and you can explain what the causal mask does and why it’s needed for autoregressive generation.</w:t>
      </w:r>
    </w:p>
    <w:p>
      <w:r>
        <w:br w:type="page"/>
      </w:r>
    </w:p>
    <w:p>
      <w:pPr>
        <w:spacing w:before="100" w:after="60"/>
      </w:pPr>
      <w:r>
        <w:rPr>
          <w:rFonts w:ascii="Arial" w:cs="Arial" w:eastAsia="Arial" w:hAnsi="Arial"/>
          <w:b/>
          <w:bCs/>
          <w:color w:val="2D6A4F"/>
          <w:sz w:val="18"/>
          <w:szCs w:val="18"/>
        </w:rPr>
        <w:t xml:space="preserve">█ PHASE 3: SYSTEMS &amp; SCALE</w:t>
      </w:r>
    </w:p>
    <w:p>
      <w:pPr>
        <w:pStyle w:val="Heading2"/>
      </w:pPr>
      <w:r>
        <w:t xml:space="preserve">Unit 6 — Tokenization</w:t>
      </w:r>
    </w:p>
    <w:p>
      <w:pPr>
        <w:spacing w:after="140" w:line="300"/>
      </w:pPr>
      <w:r>
        <w:rPr>
          <w:rFonts w:ascii="Arial" w:cs="Arial" w:eastAsia="Arial" w:hAnsi="Arial"/>
          <w:color w:val="2D6A4F"/>
          <w:sz w:val="22"/>
          <w:szCs w:val="22"/>
        </w:rPr>
        <w:t xml:space="preserve">Parallel track: </w:t>
      </w:r>
      <w:r>
        <w:rPr>
          <w:rFonts w:ascii="Arial" w:cs="Arial" w:eastAsia="Arial" w:hAnsi="Arial"/>
          <w:b/>
          <w:bCs/>
          <w:sz w:val="22"/>
          <w:szCs w:val="22"/>
        </w:rPr>
        <w:t xml:space="preserve">Watch between labs to deepen LLM understanding</w:t>
      </w:r>
    </w:p>
    <w:p>
      <w:pPr>
        <w:spacing w:before="120"/>
      </w:pPr>
    </w:p>
    <w:p>
      <w:pPr>
        <w:pStyle w:val="Heading3"/>
      </w:pPr>
      <w:r>
        <w:t xml:space="preserve">Main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1000"/>
        <w:gridCol w:w="4000"/>
      </w:tblGrid>
      <w:tr>
        <w:tc>
          <w:tcPr>
            <w:tcW w:type="dxa" w:w="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1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“Let’s build the GPT Tokenizer”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Byte Pair Encoding from scratch. Why tokenization matters, how it affects model behavior, Unicode handling, the full encode/decode pipeline. Essential context for anyone working with LLMs.</w:t>
            </w:r>
          </w:p>
        </w:tc>
      </w:tr>
    </w:tbl>
    <w:p>
      <w:pPr>
        <w:spacing w:before="120"/>
      </w:pPr>
    </w:p>
    <w:p>
      <w:pPr>
        <w:spacing w:after="140" w:line="300"/>
      </w:pPr>
      <w:r>
        <w:rPr>
          <w:rFonts w:ascii="Arial" w:cs="Arial" w:eastAsia="Arial" w:hAnsi="Arial"/>
          <w:sz w:val="22"/>
          <w:szCs w:val="22"/>
        </w:rPr>
        <w:t xml:space="preserve">No separate lab for this—but the understanding feeds directly into your Group 4 and Group 7 work. Implement BPE as a standalone exercise after watching.</w:t>
      </w:r>
    </w:p>
    <w:p>
      <w:pPr>
        <w:pBdr>
          <w:bottom w:val="single" w:color="1B5E8C" w:sz="4" w:space="4"/>
        </w:pBdr>
        <w:spacing w:before="200" w:after="200"/>
      </w:pPr>
    </w:p>
    <w:p>
      <w:pPr>
        <w:pStyle w:val="Heading2"/>
      </w:pPr>
      <w:r>
        <w:t xml:space="preserve">Unit 7 — Reproducing GPT-2</w:t>
      </w:r>
    </w:p>
    <w:p>
      <w:pPr>
        <w:spacing w:after="140" w:line="300"/>
      </w:pPr>
      <w:r>
        <w:rPr>
          <w:rFonts w:ascii="Arial" w:cs="Arial" w:eastAsia="Arial" w:hAnsi="Arial"/>
          <w:color w:val="2D6A4F"/>
          <w:sz w:val="22"/>
          <w:szCs w:val="22"/>
        </w:rPr>
        <w:t xml:space="preserve">Prepares you for: </w:t>
      </w:r>
      <w:r>
        <w:rPr>
          <w:rFonts w:ascii="Arial" w:cs="Arial" w:eastAsia="Arial" w:hAnsi="Arial"/>
          <w:b/>
          <w:bCs/>
          <w:sz w:val="22"/>
          <w:szCs w:val="22"/>
        </w:rPr>
        <w:t xml:space="preserve">Lab Groups 5–6 (Efficient &amp; Distributed Training)</w:t>
      </w:r>
    </w:p>
    <w:p>
      <w:pPr>
        <w:spacing w:before="120"/>
      </w:pPr>
    </w:p>
    <w:p>
      <w:pPr>
        <w:pStyle w:val="Heading3"/>
      </w:pPr>
      <w:r>
        <w:t xml:space="preserve">Main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1000"/>
        <w:gridCol w:w="4000"/>
      </w:tblGrid>
      <w:tr>
        <w:tc>
          <w:tcPr>
            <w:tcW w:type="dxa" w:w="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1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“Reproducing GPT-2 (124M)”</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culmination. Training a real GPT-2 on real data. Mixed precision, gradient accumulation, learning rate warmup/cosine decay, weight decay, distributed training with DDP, Hellaswag evaluation, Flash Attention. This single video covers most of what your Groups 5 and 6 labs need.</w:t>
            </w:r>
          </w:p>
        </w:tc>
      </w:tr>
    </w:tbl>
    <w:p>
      <w:pPr>
        <w:spacing w:before="120"/>
      </w:pPr>
    </w:p>
    <w:p>
      <w:pPr>
        <w:pStyle w:val="Heading3"/>
      </w:pPr>
      <w:r>
        <w:t xml:space="preserve">How to Use This Video</w:t>
      </w:r>
    </w:p>
    <w:p>
      <w:pPr>
        <w:spacing w:after="140" w:line="300"/>
      </w:pPr>
      <w:r>
        <w:rPr>
          <w:rFonts w:ascii="Arial" w:cs="Arial" w:eastAsia="Arial" w:hAnsi="Arial"/>
          <w:sz w:val="22"/>
          <w:szCs w:val="22"/>
        </w:rPr>
        <w:t xml:space="preserve">This is a 4-hour video. Watch it in two sittings. First sitting: watch the whole thing, take notes on every engineering decision. Second sitting: code along, stopping to understand each optimization (AMP, accumulation, DDP setup, compile).</w:t>
      </w:r>
    </w:p>
    <w:p>
      <w:pPr>
        <w:spacing w:before="120"/>
      </w:pPr>
    </w:p>
    <w:p>
      <w:pPr>
        <w:pStyle w:val="Heading3"/>
      </w:pPr>
      <w:r>
        <w:t xml:space="preserve">Supplementary</w:t>
      </w:r>
    </w:p>
    <w:p>
      <w:pPr>
        <w:pStyle w:val="ListParagraph"/>
        <w:numPr>
          <w:ilvl w:val="0"/>
          <w:numId w:val="3"/>
        </w:numPr>
        <w:spacing w:after="80" w:line="280"/>
      </w:pPr>
      <w:r>
        <w:rPr>
          <w:rFonts w:ascii="Arial" w:cs="Arial" w:eastAsia="Arial" w:hAnsi="Arial"/>
          <w:b/>
          <w:bCs/>
          <w:sz w:val="22"/>
          <w:szCs w:val="22"/>
        </w:rPr>
        <w:t xml:space="preserve">Docs: </w:t>
      </w:r>
      <w:r>
        <w:rPr>
          <w:rFonts w:ascii="Arial" w:cs="Arial" w:eastAsia="Arial" w:hAnsi="Arial"/>
          <w:sz w:val="22"/>
          <w:szCs w:val="22"/>
        </w:rPr>
        <w:t xml:space="preserve">Stas Bekman — “Anatomy of Model’s Memory” (HuggingFace docs). Read this before the video to understand where GPU memory goes during training.</w:t>
      </w:r>
    </w:p>
    <w:p>
      <w:pPr>
        <w:pStyle w:val="ListParagraph"/>
        <w:numPr>
          <w:ilvl w:val="0"/>
          <w:numId w:val="3"/>
        </w:numPr>
        <w:spacing w:after="80" w:line="280"/>
      </w:pPr>
      <w:r>
        <w:rPr>
          <w:rFonts w:ascii="Arial" w:cs="Arial" w:eastAsia="Arial" w:hAnsi="Arial"/>
          <w:b/>
          <w:bCs/>
          <w:sz w:val="22"/>
          <w:szCs w:val="22"/>
        </w:rPr>
        <w:t xml:space="preserve">Blog: </w:t>
      </w:r>
      <w:r>
        <w:rPr>
          <w:rFonts w:ascii="Arial" w:cs="Arial" w:eastAsia="Arial" w:hAnsi="Arial"/>
          <w:sz w:val="22"/>
          <w:szCs w:val="22"/>
        </w:rPr>
        <w:t xml:space="preserve">Lilian Weng — “Large Transformer Model Training Techniques” (lilianweng.github.io). Overview connecting data parallel, model parallel, pipeline parallel, and ZeRO. Read after the video to understand where DDP fits in the bigger picture.</w:t>
      </w:r>
    </w:p>
    <w:p>
      <w:pPr>
        <w:pStyle w:val="ListParagraph"/>
        <w:numPr>
          <w:ilvl w:val="0"/>
          <w:numId w:val="3"/>
        </w:numPr>
        <w:spacing w:after="80" w:line="280"/>
      </w:pPr>
      <w:r>
        <w:rPr>
          <w:rFonts w:ascii="Arial" w:cs="Arial" w:eastAsia="Arial" w:hAnsi="Arial"/>
          <w:b/>
          <w:bCs/>
          <w:sz w:val="22"/>
          <w:szCs w:val="22"/>
        </w:rPr>
        <w:t xml:space="preserve">Docs: </w:t>
      </w:r>
      <w:r>
        <w:rPr>
          <w:rFonts w:ascii="Arial" w:cs="Arial" w:eastAsia="Arial" w:hAnsi="Arial"/>
          <w:sz w:val="22"/>
          <w:szCs w:val="22"/>
        </w:rPr>
        <w:t xml:space="preserve">PyTorch — “Getting Started with DDP” and “Getting Started with FSDP” (official tutorials). Reference these when implementing your Group 6 lab.</w:t>
      </w:r>
    </w:p>
    <w:p>
      <w:pPr>
        <w:spacing w:before="120"/>
      </w:pPr>
    </w:p>
    <w:p>
      <w:pPr>
        <w:pStyle w:val="Heading3"/>
      </w:pPr>
      <w:r>
        <w:t xml:space="preserve">Then Do: Lab Groups 5 and 6</w:t>
      </w:r>
    </w:p>
    <w:p>
      <w:pPr>
        <w:spacing w:after="140" w:line="300"/>
      </w:pPr>
      <w:r>
        <w:rPr>
          <w:rFonts w:ascii="Arial" w:cs="Arial" w:eastAsia="Arial" w:hAnsi="Arial"/>
          <w:sz w:val="22"/>
          <w:szCs w:val="22"/>
        </w:rPr>
        <w:t xml:space="preserve">Group 5: Implement memory profiling, mixed precision training loop, gradient accumulation, activation checkpointing, and torch.compile benchmarks.</w:t>
      </w:r>
    </w:p>
    <w:p>
      <w:pPr>
        <w:spacing w:after="140" w:line="300"/>
      </w:pPr>
      <w:r>
        <w:rPr>
          <w:rFonts w:ascii="Arial" w:cs="Arial" w:eastAsia="Arial" w:hAnsi="Arial"/>
          <w:sz w:val="22"/>
          <w:szCs w:val="22"/>
        </w:rPr>
        <w:t xml:space="preserve">Group 6: Implement DDP training script, metric synchronization, FSDP wrapping. Run scaling experiments on your PACE GPU cluster.</w:t>
      </w:r>
    </w:p>
    <w:p>
      <w:pPr>
        <w:spacing w:before="120"/>
      </w:pPr>
    </w:p>
    <w:p>
      <w:pPr>
        <w:spacing w:after="140" w:line="300"/>
      </w:pPr>
      <w:r>
        <w:rPr>
          <w:rFonts w:ascii="Arial" w:cs="Arial" w:eastAsia="Arial" w:hAnsi="Arial"/>
          <w:b/>
          <w:bCs/>
          <w:sz w:val="22"/>
          <w:szCs w:val="22"/>
        </w:rPr>
        <w:t xml:space="preserve">You know you’re ready to move on when: </w:t>
      </w:r>
      <w:r>
        <w:rPr>
          <w:rFonts w:ascii="Arial" w:cs="Arial" w:eastAsia="Arial" w:hAnsi="Arial"/>
          <w:sz w:val="22"/>
          <w:szCs w:val="22"/>
        </w:rPr>
        <w:t xml:space="preserve">You can set up a DDP training run from scratch, explain why gradient accumulation is mathematically equivalent to large batches, and predict GPU memory usage for a given model.</w:t>
      </w:r>
    </w:p>
    <w:p>
      <w:r>
        <w:br w:type="page"/>
      </w:r>
    </w:p>
    <w:p>
      <w:pPr>
        <w:spacing w:before="100" w:after="60"/>
      </w:pPr>
      <w:r>
        <w:rPr>
          <w:rFonts w:ascii="Arial" w:cs="Arial" w:eastAsia="Arial" w:hAnsi="Arial"/>
          <w:b/>
          <w:bCs/>
          <w:color w:val="7B2D8E"/>
          <w:sz w:val="18"/>
          <w:szCs w:val="18"/>
        </w:rPr>
        <w:t xml:space="preserve">█ PHASE 4: RESEARCH</w:t>
      </w:r>
    </w:p>
    <w:p>
      <w:pPr>
        <w:pStyle w:val="Heading2"/>
      </w:pPr>
      <w:r>
        <w:t xml:space="preserve">Unit 8 — Research Techniques: LoRA, Contrastive Learning, RL</w:t>
      </w:r>
    </w:p>
    <w:p>
      <w:pPr>
        <w:spacing w:after="140" w:line="300"/>
      </w:pPr>
      <w:r>
        <w:rPr>
          <w:rFonts w:ascii="Arial" w:cs="Arial" w:eastAsia="Arial" w:hAnsi="Arial"/>
          <w:color w:val="2D6A4F"/>
          <w:sz w:val="22"/>
          <w:szCs w:val="22"/>
        </w:rPr>
        <w:t xml:space="preserve">Prepares you for: </w:t>
      </w:r>
      <w:r>
        <w:rPr>
          <w:rFonts w:ascii="Arial" w:cs="Arial" w:eastAsia="Arial" w:hAnsi="Arial"/>
          <w:b/>
          <w:bCs/>
          <w:sz w:val="22"/>
          <w:szCs w:val="22"/>
        </w:rPr>
        <w:t xml:space="preserve">Lab Group 7 (Research Extensions)</w:t>
      </w:r>
    </w:p>
    <w:p>
      <w:pPr>
        <w:spacing w:before="120"/>
      </w:pPr>
    </w:p>
    <w:p>
      <w:pPr>
        <w:pStyle w:val="Heading3"/>
      </w:pPr>
      <w:r>
        <w:t xml:space="preserve">Main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1000"/>
        <w:gridCol w:w="4000"/>
      </w:tblGrid>
      <w:tr>
        <w:tc>
          <w:tcPr>
            <w:tcW w:type="dxa" w:w="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Video</w:t>
            </w:r>
          </w:p>
        </w:tc>
        <w:tc>
          <w:tcPr>
            <w:tcW w:type="dxa" w:w="1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0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What You Learn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Umar Jamil: “LoRA — Low-Rank Adaptation: Explained visually + PyTorch code from scratch”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min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 explanation of LoRA with complete PyTorch implementation. Why low-rank works, where to inject adapters, rank selection.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Umar Jamil: “LLaMA explained: KV-Cache, RoPE, RMS Norm, GQA, SwiGLU”</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hr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Modern LLM architecture innovations. Builds on your Transformer knowledge with production-level techniques.</w:t>
            </w:r>
          </w:p>
        </w:tc>
      </w:tr>
    </w:tbl>
    <w:p>
      <w:pPr>
        <w:spacing w:before="120"/>
      </w:pPr>
    </w:p>
    <w:p>
      <w:pPr>
        <w:pStyle w:val="Heading3"/>
      </w:pPr>
      <w:r>
        <w:t xml:space="preserve">Supplementary</w:t>
      </w:r>
    </w:p>
    <w:p>
      <w:pPr>
        <w:pStyle w:val="ListParagraph"/>
        <w:numPr>
          <w:ilvl w:val="0"/>
          <w:numId w:val="3"/>
        </w:numPr>
        <w:spacing w:after="80" w:line="280"/>
      </w:pPr>
      <w:r>
        <w:rPr>
          <w:rFonts w:ascii="Arial" w:cs="Arial" w:eastAsia="Arial" w:hAnsi="Arial"/>
          <w:b/>
          <w:bCs/>
          <w:sz w:val="22"/>
          <w:szCs w:val="22"/>
        </w:rPr>
        <w:t xml:space="preserve">Blog (essential): </w:t>
      </w:r>
      <w:r>
        <w:rPr>
          <w:rFonts w:ascii="Arial" w:cs="Arial" w:eastAsia="Arial" w:hAnsi="Arial"/>
          <w:sz w:val="22"/>
          <w:szCs w:val="22"/>
        </w:rPr>
        <w:t xml:space="preserve">Lilian Weng — “Contrastive Representation Learning” (lilianweng.github.io). Comprehensive overview of SimCLR, MoCo, InfoNCE with unified notation. Read before implementing contrastive losses.</w:t>
      </w:r>
    </w:p>
    <w:p>
      <w:pPr>
        <w:pStyle w:val="ListParagraph"/>
        <w:numPr>
          <w:ilvl w:val="0"/>
          <w:numId w:val="3"/>
        </w:numPr>
        <w:spacing w:after="80" w:line="280"/>
      </w:pPr>
      <w:r>
        <w:rPr>
          <w:rFonts w:ascii="Arial" w:cs="Arial" w:eastAsia="Arial" w:hAnsi="Arial"/>
          <w:b/>
          <w:bCs/>
          <w:sz w:val="22"/>
          <w:szCs w:val="22"/>
        </w:rPr>
        <w:t xml:space="preserve">Blog: </w:t>
      </w:r>
      <w:r>
        <w:rPr>
          <w:rFonts w:ascii="Arial" w:cs="Arial" w:eastAsia="Arial" w:hAnsi="Arial"/>
          <w:sz w:val="22"/>
          <w:szCs w:val="22"/>
        </w:rPr>
        <w:t xml:space="preserve">Sebastian Raschka — “Practical Tips for Finetuning LLMs Using LoRA”. Practical advice on rank selection, which layers to adapt, and common mistakes.</w:t>
      </w:r>
    </w:p>
    <w:p>
      <w:pPr>
        <w:pStyle w:val="ListParagraph"/>
        <w:numPr>
          <w:ilvl w:val="0"/>
          <w:numId w:val="3"/>
        </w:numPr>
        <w:spacing w:after="80" w:line="280"/>
      </w:pPr>
      <w:r>
        <w:rPr>
          <w:rFonts w:ascii="Arial" w:cs="Arial" w:eastAsia="Arial" w:hAnsi="Arial"/>
          <w:b/>
          <w:bCs/>
          <w:sz w:val="22"/>
          <w:szCs w:val="22"/>
        </w:rPr>
        <w:t xml:space="preserve">Blog: </w:t>
      </w:r>
      <w:r>
        <w:rPr>
          <w:rFonts w:ascii="Arial" w:cs="Arial" w:eastAsia="Arial" w:hAnsi="Arial"/>
          <w:sz w:val="22"/>
          <w:szCs w:val="22"/>
        </w:rPr>
        <w:t xml:space="preserve">Lilian Weng — “Policy Gradient Algorithms” (lilianweng.github.io). Clear derivation of REINFORCE with variance reduction. Read before implementing the RL section of your lab.</w:t>
      </w:r>
    </w:p>
    <w:p>
      <w:pPr>
        <w:pStyle w:val="ListParagraph"/>
        <w:numPr>
          <w:ilvl w:val="0"/>
          <w:numId w:val="3"/>
        </w:numPr>
        <w:spacing w:after="80" w:line="280"/>
      </w:pPr>
      <w:r>
        <w:rPr>
          <w:rFonts w:ascii="Arial" w:cs="Arial" w:eastAsia="Arial" w:hAnsi="Arial"/>
          <w:b/>
          <w:bCs/>
          <w:sz w:val="22"/>
          <w:szCs w:val="22"/>
        </w:rPr>
        <w:t xml:space="preserve">Paper: </w:t>
      </w:r>
      <w:r>
        <w:rPr>
          <w:rFonts w:ascii="Arial" w:cs="Arial" w:eastAsia="Arial" w:hAnsi="Arial"/>
          <w:sz w:val="22"/>
          <w:szCs w:val="22"/>
        </w:rPr>
        <w:t xml:space="preserve">“LoRA: Low-Rank Adaptation of Large Language Models” (Hu et al. 2021). Short paper. Focus on Section 4 for the method. You should be able to implement it from the equations after watching Umar’s video.</w:t>
      </w:r>
    </w:p>
    <w:p>
      <w:pPr>
        <w:spacing w:before="120"/>
      </w:pPr>
    </w:p>
    <w:p>
      <w:pPr>
        <w:pStyle w:val="Heading3"/>
      </w:pPr>
      <w:r>
        <w:t xml:space="preserve">Then Do: Lab Group 7</w:t>
      </w:r>
    </w:p>
    <w:p>
      <w:pPr>
        <w:spacing w:after="140" w:line="300"/>
      </w:pPr>
      <w:r>
        <w:rPr>
          <w:rFonts w:ascii="Arial" w:cs="Arial" w:eastAsia="Arial" w:hAnsi="Arial"/>
          <w:sz w:val="22"/>
          <w:szCs w:val="22"/>
        </w:rPr>
        <w:t xml:space="preserve">Implement custom autograd functions, gradient surgery, InfoNCE loss, LoRA from scratch (frozen base + trainable low-rank matrices), and REINFORCE for CartPole.</w:t>
      </w:r>
    </w:p>
    <w:p>
      <w:pPr>
        <w:pBdr>
          <w:bottom w:val="single" w:color="1B5E8C" w:sz="4" w:space="4"/>
        </w:pBdr>
        <w:spacing w:before="200" w:after="200"/>
      </w:pPr>
    </w:p>
    <w:p>
      <w:pPr>
        <w:pStyle w:val="Heading2"/>
      </w:pPr>
      <w:r>
        <w:t xml:space="preserve">Unit 9 — Deployment &amp; Experiment Rigor</w:t>
      </w:r>
    </w:p>
    <w:p>
      <w:pPr>
        <w:spacing w:after="140" w:line="300"/>
      </w:pPr>
      <w:r>
        <w:rPr>
          <w:rFonts w:ascii="Arial" w:cs="Arial" w:eastAsia="Arial" w:hAnsi="Arial"/>
          <w:color w:val="2D6A4F"/>
          <w:sz w:val="22"/>
          <w:szCs w:val="22"/>
        </w:rPr>
        <w:t xml:space="preserve">Prepares you for: </w:t>
      </w:r>
      <w:r>
        <w:rPr>
          <w:rFonts w:ascii="Arial" w:cs="Arial" w:eastAsia="Arial" w:hAnsi="Arial"/>
          <w:b/>
          <w:bCs/>
          <w:sz w:val="22"/>
          <w:szCs w:val="22"/>
        </w:rPr>
        <w:t xml:space="preserve">Lab Groups 8 and 11</w:t>
      </w:r>
    </w:p>
    <w:p>
      <w:pPr>
        <w:spacing w:before="120"/>
      </w:pPr>
    </w:p>
    <w:p>
      <w:pPr>
        <w:pStyle w:val="Heading3"/>
      </w:pPr>
      <w:r>
        <w:t xml:space="preserve">Resources (Primarily Docs-Based)</w:t>
      </w:r>
    </w:p>
    <w:p>
      <w:pPr>
        <w:spacing w:after="140" w:line="300"/>
      </w:pPr>
      <w:r>
        <w:rPr>
          <w:rFonts w:ascii="Arial" w:cs="Arial" w:eastAsia="Arial" w:hAnsi="Arial"/>
          <w:sz w:val="22"/>
          <w:szCs w:val="22"/>
        </w:rPr>
        <w:t xml:space="preserve">There are no standout video lectures for deployment and experiment rigor. These topics are best learned from documentation and practice. Use these resources:</w:t>
      </w:r>
    </w:p>
    <w:p>
      <w:pPr>
        <w:spacing w:before="120"/>
      </w:pPr>
    </w:p>
    <w:p>
      <w:pPr>
        <w:pStyle w:val="ListParagraph"/>
        <w:numPr>
          <w:ilvl w:val="0"/>
          <w:numId w:val="3"/>
        </w:numPr>
        <w:spacing w:after="80" w:line="280"/>
      </w:pPr>
      <w:r>
        <w:rPr>
          <w:rFonts w:ascii="Arial" w:cs="Arial" w:eastAsia="Arial" w:hAnsi="Arial"/>
          <w:b/>
          <w:bCs/>
          <w:sz w:val="22"/>
          <w:szCs w:val="22"/>
        </w:rPr>
        <w:t xml:space="preserve">Deployment (Group 8): </w:t>
      </w:r>
      <w:r>
        <w:rPr>
          <w:rFonts w:ascii="Arial" w:cs="Arial" w:eastAsia="Arial" w:hAnsi="Arial"/>
          <w:sz w:val="22"/>
          <w:szCs w:val="22"/>
        </w:rPr>
        <w:t xml:space="preserve">PyTorch TorchScript tutorial, PyTorch ONNX export tutorial, PyTorch Quantization docs. These are reference-style—read them, then implement the lab.</w:t>
      </w:r>
    </w:p>
    <w:p>
      <w:pPr>
        <w:pStyle w:val="ListParagraph"/>
        <w:numPr>
          <w:ilvl w:val="0"/>
          <w:numId w:val="3"/>
        </w:numPr>
        <w:spacing w:after="80" w:line="280"/>
      </w:pPr>
      <w:r>
        <w:rPr>
          <w:rFonts w:ascii="Arial" w:cs="Arial" w:eastAsia="Arial" w:hAnsi="Arial"/>
          <w:b/>
          <w:bCs/>
          <w:sz w:val="22"/>
          <w:szCs w:val="22"/>
        </w:rPr>
        <w:t xml:space="preserve">Experiment rigor (Group 11): </w:t>
      </w:r>
      <w:r>
        <w:rPr>
          <w:rFonts w:ascii="Arial" w:cs="Arial" w:eastAsia="Arial" w:hAnsi="Arial"/>
          <w:sz w:val="22"/>
          <w:szCs w:val="22"/>
        </w:rPr>
        <w:t xml:space="preserve">Andrew Ng’s data-centric AI talks on YouTube (short, conceptual). Study the ablation sections of 2–3 top ML papers (BERT, ResNet, or any recent NeurIPS best paper). The method matters more than the specific paper.</w:t>
      </w:r>
    </w:p>
    <w:p>
      <w:pPr>
        <w:spacing w:before="120"/>
      </w:pPr>
    </w:p>
    <w:p>
      <w:pPr>
        <w:pStyle w:val="Heading3"/>
      </w:pPr>
      <w:r>
        <w:t xml:space="preserve">Then Do: Lab Groups 8 and 11</w:t>
      </w:r>
    </w:p>
    <w:p>
      <w:pPr>
        <w:spacing w:after="140" w:line="300"/>
      </w:pPr>
      <w:r>
        <w:rPr>
          <w:rFonts w:ascii="Arial" w:cs="Arial" w:eastAsia="Arial" w:hAnsi="Arial"/>
          <w:sz w:val="22"/>
          <w:szCs w:val="22"/>
        </w:rPr>
        <w:t xml:space="preserve">Group 8: TorchScript export, ONNX export, dynamic batching, latency benchmarking, quantization.</w:t>
      </w:r>
    </w:p>
    <w:p>
      <w:pPr>
        <w:spacing w:after="140" w:line="300"/>
      </w:pPr>
      <w:r>
        <w:rPr>
          <w:rFonts w:ascii="Arial" w:cs="Arial" w:eastAsia="Arial" w:hAnsi="Arial"/>
          <w:sz w:val="22"/>
          <w:szCs w:val="22"/>
        </w:rPr>
        <w:t xml:space="preserve">Group 11: Dataset manifests, stratified splitting, error analysis, ablation harness, drift detection.</w:t>
      </w:r>
    </w:p>
    <w:p>
      <w:r>
        <w:br w:type="page"/>
      </w:r>
    </w:p>
    <w:p>
      <w:pPr>
        <w:pStyle w:val="Heading1"/>
      </w:pPr>
      <w:r>
        <w:t xml:space="preserve">Complete Video Sequence</w:t>
      </w:r>
    </w:p>
    <w:p>
      <w:pPr>
        <w:spacing w:after="140" w:line="300"/>
      </w:pPr>
      <w:r>
        <w:rPr>
          <w:rFonts w:ascii="Arial" w:cs="Arial" w:eastAsia="Arial" w:hAnsi="Arial"/>
          <w:sz w:val="22"/>
          <w:szCs w:val="22"/>
        </w:rPr>
        <w:t xml:space="preserve">This is your watch order. Follow it exactly. Each row tells you what to watch, what to read, and which lab to do afterward.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2960"/>
        <w:gridCol w:w="2600"/>
      </w:tblGrid>
      <w:tr>
        <w:tc>
          <w:tcPr>
            <w:tcW w:type="dxa" w:w="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Watch</w:t>
            </w:r>
          </w:p>
        </w:tc>
        <w:tc>
          <w:tcPr>
            <w:tcW w:type="dxa" w:w="296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Read After</w:t>
            </w:r>
          </w:p>
        </w:tc>
        <w:tc>
          <w:tcPr>
            <w:tcW w:type="dxa" w:w="2600"/>
            <w:tcBorders>
              <w:top w:val="single" w:color="CCCCCC" w:sz="1"/>
              <w:left w:val="single" w:color="CCCCCC" w:sz="1"/>
              <w:bottom w:val="single" w:color="CCCCCC" w:sz="1"/>
              <w:right w:val="single" w:color="CCCCCC" w:sz="1"/>
            </w:tcBorders>
            <w:shd w:fill="1B5E8C" w:val="clear"/>
            <w:tcMar>
              <w:top w:type="dxa" w:w="80"/>
              <w:left w:type="dxa" w:w="120"/>
              <w:bottom w:type="dxa" w:w="80"/>
              <w:right w:type="dxa" w:w="120"/>
            </w:tcMar>
          </w:tcPr>
          <w:p>
            <w:r>
              <w:rPr>
                <w:rFonts w:ascii="Arial" w:cs="Arial" w:eastAsia="Arial" w:hAnsi="Arial"/>
                <w:b/>
                <w:bCs/>
                <w:color w:val="FFFFFF"/>
                <w:sz w:val="20"/>
                <w:szCs w:val="20"/>
              </w:rPr>
              <w:t xml:space="preserve">Then Do Lab</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Building micrograd (~2.5h)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“Recipe for Training NNs” blog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1</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Karpathy: Makemore Part 2 — MLP (~1.5h)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Ruder: Optimizer overview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2 (part 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Makemore Part 3 — BatchNorm (~1.5h)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CS231n notes: initialization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2 (part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Karpathy: Makemore Part 4 — Backprop Ninja (~1.5h)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(Re-do Group 1 experiments)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Makemore Part 5 — WaveNet (~1h)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CS231n Lecture 5: CNNs (~1h)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Lilian Weng: Object Detection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3 (part 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CS231n Lecture 9: CNN Architectures (~1h)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CS231n Lecture 11: Detection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3 (part 2)</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CS231n Lecture 10: RNNs (~1.2h)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Chris Olah: LSTM blog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4 (RNN section)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Let’s build GPT (~2h)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Jay Alammar: Illustrated Transformer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4 (Transformer section)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Umar Jamil: Transformer explanation (~1.5h)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Attention Is All You Need paper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Umar Jamil: Coding Transformer (~2h)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4 (complete)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Karpathy: GPT Tokenizer (~2h)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(standalone exercise)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Karpathy: Reproducing GPT-2 (~4h)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Lilian Weng: Training techniques blog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Groups 5 &amp; 6</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14</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Umar Jamil: LoRA explained (~40m)</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Lilian Weng: Contrastive learning blog</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 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Umar Jamil: LLaMA explained (~1h)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Lilian Weng: Policy gradients blog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7 (complete)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(Docs-based learning)</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PyTorch export/quantization docs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Groups 8 &amp; 11</w:t>
            </w:r>
          </w:p>
        </w:tc>
      </w:tr>
    </w:tbl>
    <w:p>
      <w:pPr>
        <w:spacing w:before="120"/>
      </w:pPr>
    </w:p>
    <w:p>
      <w:pPr>
        <w:spacing w:after="140" w:line="300"/>
      </w:pPr>
      <w:r>
        <w:rPr>
          <w:rFonts w:ascii="Arial" w:cs="Arial" w:eastAsia="Arial" w:hAnsi="Arial"/>
          <w:b/>
          <w:bCs/>
          <w:sz w:val="22"/>
          <w:szCs w:val="22"/>
        </w:rPr>
        <w:t xml:space="preserve">Total video time: </w:t>
      </w:r>
      <w:r>
        <w:rPr>
          <w:rFonts w:ascii="Arial" w:cs="Arial" w:eastAsia="Arial" w:hAnsi="Arial"/>
          <w:sz w:val="22"/>
          <w:szCs w:val="22"/>
        </w:rPr>
        <w:t xml:space="preserve">~27 hours across 15 videos. At 2 videos per week plus lab implementation time, this is a 10–14 week curriculum.</w:t>
      </w:r>
    </w:p>
    <w:p>
      <w:r>
        <w:br w:type="page"/>
      </w:r>
    </w:p>
    <w:p>
      <w:pPr>
        <w:pStyle w:val="Heading1"/>
      </w:pPr>
      <w:r>
        <w:t xml:space="preserve">Rules for Yourself</w:t>
      </w:r>
    </w:p>
    <w:p>
      <w:pPr>
        <w:spacing w:before="120"/>
      </w:pPr>
    </w:p>
    <w:p>
      <w:pPr>
        <w:pStyle w:val="Heading2"/>
      </w:pPr>
      <w:r>
        <w:t xml:space="preserve">The No-Skip Rule</w:t>
      </w:r>
    </w:p>
    <w:p>
      <w:pPr>
        <w:spacing w:after="140" w:line="300"/>
      </w:pPr>
      <w:r>
        <w:rPr>
          <w:rFonts w:ascii="Arial" w:cs="Arial" w:eastAsia="Arial" w:hAnsi="Arial"/>
          <w:sz w:val="22"/>
          <w:szCs w:val="22"/>
        </w:rPr>
        <w:t xml:space="preserve">Do not skip ahead. Each video builds on the last. If you find yourself thinking “I already know this,” that’s fine—but still implement the lab from scratch. Knowing a concept and being able to implement it under pressure are completely different things.</w:t>
      </w:r>
    </w:p>
    <w:p>
      <w:pPr>
        <w:spacing w:before="120"/>
      </w:pPr>
    </w:p>
    <w:p>
      <w:pPr>
        <w:pStyle w:val="Heading2"/>
      </w:pPr>
      <w:r>
        <w:t xml:space="preserve">The Paper Gate</w:t>
      </w:r>
    </w:p>
    <w:p>
      <w:pPr>
        <w:spacing w:after="140" w:line="300"/>
      </w:pPr>
      <w:r>
        <w:rPr>
          <w:rFonts w:ascii="Arial" w:cs="Arial" w:eastAsia="Arial" w:hAnsi="Arial"/>
          <w:sz w:val="22"/>
          <w:szCs w:val="22"/>
        </w:rPr>
        <w:t xml:space="preserve">Before moving from Phase 2 to Phase 3, reproduce one paper from scratch: either ResNet-18 on CIFAR-10 or a small GPT on tiny Shakespeare. If you can do this without referencing tutorial code, you have real fluency. If you can’t, go back and redo Units 4–5.</w:t>
      </w:r>
    </w:p>
    <w:p>
      <w:pPr>
        <w:spacing w:before="120"/>
      </w:pPr>
    </w:p>
    <w:p>
      <w:pPr>
        <w:pStyle w:val="Heading2"/>
      </w:pPr>
      <w:r>
        <w:t xml:space="preserve">The 80/20 Rule for Resources</w:t>
      </w:r>
    </w:p>
    <w:p>
      <w:pPr>
        <w:spacing w:after="140" w:line="300"/>
      </w:pPr>
      <w:r>
        <w:rPr>
          <w:rFonts w:ascii="Arial" w:cs="Arial" w:eastAsia="Arial" w:hAnsi="Arial"/>
          <w:sz w:val="22"/>
          <w:szCs w:val="22"/>
        </w:rPr>
        <w:t xml:space="preserve">Karpathy’s videos give you 80% of what you need. The supplementary blogs give you the remaining 20%—the optimizer math, the LSTM gate diagrams, the detection metrics. Don’t go hunting for more resources. These are enough. The temptation to find “one more tutorial” is the enemy of actually building things.</w:t>
      </w:r>
    </w:p>
    <w:p>
      <w:pPr>
        <w:spacing w:before="120"/>
      </w:pPr>
    </w:p>
    <w:p>
      <w:pPr>
        <w:pStyle w:val="Heading2"/>
      </w:pPr>
      <w:r>
        <w:t xml:space="preserve">When You Get Stuck</w:t>
      </w:r>
    </w:p>
    <w:p>
      <w:pPr>
        <w:pStyle w:val="ListParagraph"/>
        <w:numPr>
          <w:ilvl w:val="0"/>
          <w:numId w:val="4"/>
        </w:numPr>
        <w:spacing w:after="80" w:line="280"/>
      </w:pPr>
      <w:r>
        <w:rPr>
          <w:rFonts w:ascii="Arial" w:cs="Arial" w:eastAsia="Arial" w:hAnsi="Arial"/>
          <w:sz w:val="22"/>
          <w:szCs w:val="22"/>
        </w:rPr>
        <w:t xml:space="preserve">Re-watch the relevant section of the video at 0.75x speed.</w:t>
      </w:r>
    </w:p>
    <w:p>
      <w:pPr>
        <w:pStyle w:val="ListParagraph"/>
        <w:numPr>
          <w:ilvl w:val="0"/>
          <w:numId w:val="4"/>
        </w:numPr>
        <w:spacing w:after="80" w:line="280"/>
      </w:pPr>
      <w:r>
        <w:rPr>
          <w:rFonts w:ascii="Arial" w:cs="Arial" w:eastAsia="Arial" w:hAnsi="Arial"/>
          <w:sz w:val="22"/>
          <w:szCs w:val="22"/>
        </w:rPr>
        <w:t xml:space="preserve">Read the supplementary blog for that unit.</w:t>
      </w:r>
    </w:p>
    <w:p>
      <w:pPr>
        <w:pStyle w:val="ListParagraph"/>
        <w:numPr>
          <w:ilvl w:val="0"/>
          <w:numId w:val="4"/>
        </w:numPr>
        <w:spacing w:after="80" w:line="280"/>
      </w:pPr>
      <w:r>
        <w:rPr>
          <w:rFonts w:ascii="Arial" w:cs="Arial" w:eastAsia="Arial" w:hAnsi="Arial"/>
          <w:sz w:val="22"/>
          <w:szCs w:val="22"/>
        </w:rPr>
        <w:t xml:space="preserve">Work through the math on paper.</w:t>
      </w:r>
    </w:p>
    <w:p>
      <w:pPr>
        <w:pStyle w:val="ListParagraph"/>
        <w:numPr>
          <w:ilvl w:val="0"/>
          <w:numId w:val="4"/>
        </w:numPr>
        <w:spacing w:after="80" w:line="280"/>
      </w:pPr>
      <w:r>
        <w:rPr>
          <w:rFonts w:ascii="Arial" w:cs="Arial" w:eastAsia="Arial" w:hAnsi="Arial"/>
          <w:sz w:val="22"/>
          <w:szCs w:val="22"/>
        </w:rPr>
        <w:t xml:space="preserve">Only then, ask your AI mentor (me) for a targeted hint—not a solution.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8C" w:sz="2" w:space="4"/>
      </w:pBdr>
    </w:pPr>
    <w:r>
      <w:rPr>
        <w:rFonts w:ascii="Arial" w:cs="Arial" w:eastAsia="Arial" w:hAnsi="Arial"/>
        <w:i/>
        <w:iCs/>
        <w:color w:val="999999"/>
        <w:sz w:val="18"/>
        <w:szCs w:val="18"/>
      </w:rPr>
      <w:t xml:space="preserve">Deep Learning Learning Sequence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8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 w:type="character" w:styleId="Hyperlink">
    <w:name w:val="Hyperlink"/>
    <w:uiPriority w:val="99"/>
    <w:unhideWhenUsed/>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2026-03-08T02:11:16.246Z</dcterms:created>
  <dcterms:modified xsi:type="dcterms:W3CDTF">2026-03-08T02:11:16.246Z</dcterms:modified>
</cp:coreProperties>
</file>

<file path=docProps/custom.xml><?xml version="1.0" encoding="utf-8"?>
<Properties xmlns="http://schemas.openxmlformats.org/officeDocument/2006/custom-properties" xmlns:vt="http://schemas.openxmlformats.org/officeDocument/2006/docPropsVTypes"/>
</file>